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0D27">
      <w:pPr>
        <w:spacing w:before="78" w:line="222" w:lineRule="auto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1"/>
          <w:sz w:val="22"/>
          <w:szCs w:val="22"/>
          <w:lang w:eastAsia="zh-CN"/>
        </w:rPr>
        <w:t>附件一：</w:t>
      </w:r>
      <w:bookmarkStart w:id="0" w:name="_GoBack"/>
      <w:r>
        <w:rPr>
          <w:rFonts w:ascii="黑体" w:hAnsi="黑体" w:eastAsia="黑体" w:cs="黑体"/>
          <w:spacing w:val="-1"/>
          <w:sz w:val="22"/>
          <w:szCs w:val="22"/>
          <w:lang w:eastAsia="zh-CN"/>
        </w:rPr>
        <w:t>赛项一 “外教社杯”跨文化能力大赛（校赛）内容形式和要求</w:t>
      </w:r>
    </w:p>
    <w:bookmarkEnd w:id="0"/>
    <w:p w14:paraId="508E5C8C">
      <w:pPr>
        <w:spacing w:line="382" w:lineRule="auto"/>
        <w:rPr>
          <w:lang w:eastAsia="zh-CN"/>
        </w:rPr>
      </w:pPr>
    </w:p>
    <w:p w14:paraId="0081365D">
      <w:pPr>
        <w:spacing w:before="69" w:line="223" w:lineRule="auto"/>
        <w:ind w:left="446"/>
        <w:outlineLvl w:val="2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2"/>
          <w:lang w:eastAsia="zh-CN"/>
        </w:rPr>
        <w:t>一、案例文本初赛</w:t>
      </w:r>
    </w:p>
    <w:p w14:paraId="780F368B">
      <w:pPr>
        <w:pStyle w:val="2"/>
        <w:spacing w:before="106" w:line="220" w:lineRule="auto"/>
        <w:ind w:right="6"/>
        <w:jc w:val="right"/>
        <w:rPr>
          <w:rFonts w:hint="eastAsia"/>
          <w:lang w:eastAsia="zh-CN"/>
        </w:rPr>
      </w:pPr>
      <w:r>
        <w:rPr>
          <w:spacing w:val="-3"/>
          <w:lang w:eastAsia="zh-CN"/>
        </w:rPr>
        <w:t>初赛包括：提交跨文化交际案例开发与展析环节对应的案例文本。文本用英文撰写，包</w:t>
      </w:r>
    </w:p>
    <w:p w14:paraId="7AAC6B81">
      <w:pPr>
        <w:pStyle w:val="2"/>
        <w:spacing w:before="109" w:line="221" w:lineRule="auto"/>
        <w:ind w:left="23"/>
        <w:rPr>
          <w:rFonts w:hint="eastAsia"/>
          <w:lang w:eastAsia="zh-CN"/>
        </w:rPr>
      </w:pPr>
      <w:r>
        <w:rPr>
          <w:spacing w:val="-1"/>
          <w:lang w:eastAsia="zh-CN"/>
        </w:rPr>
        <w:t>括案例主题、题目、缘起、描述、分析和参考文献六个部分，</w:t>
      </w:r>
      <w:r>
        <w:rPr>
          <w:spacing w:val="-2"/>
          <w:lang w:eastAsia="zh-CN"/>
        </w:rPr>
        <w:t>具体要求如下：</w:t>
      </w:r>
    </w:p>
    <w:p w14:paraId="43A526BA">
      <w:pPr>
        <w:spacing w:before="104" w:line="6091" w:lineRule="exact"/>
        <w:ind w:firstLine="435"/>
      </w:pPr>
      <w:r>
        <w:rPr>
          <w:position w:val="-121"/>
        </w:rPr>
        <w:drawing>
          <wp:inline distT="0" distB="0" distL="0" distR="0">
            <wp:extent cx="4236720" cy="3867150"/>
            <wp:effectExtent l="0" t="0" r="5080" b="635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98F2">
      <w:pPr>
        <w:spacing w:line="441" w:lineRule="auto"/>
      </w:pPr>
    </w:p>
    <w:p w14:paraId="6AB73A8D">
      <w:pPr>
        <w:spacing w:before="65" w:line="228" w:lineRule="auto"/>
        <w:ind w:left="448"/>
        <w:outlineLvl w:val="2"/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  <w:lang w:eastAsia="zh-CN"/>
        </w:rPr>
        <w:t>二、现场决赛</w:t>
      </w:r>
    </w:p>
    <w:p w14:paraId="124E2DBC">
      <w:pPr>
        <w:pStyle w:val="2"/>
        <w:spacing w:before="112" w:line="221" w:lineRule="auto"/>
        <w:ind w:left="444"/>
        <w:rPr>
          <w:rFonts w:hint="eastAsia"/>
          <w:lang w:eastAsia="zh-CN"/>
        </w:rPr>
      </w:pPr>
      <w:r>
        <w:rPr>
          <w:spacing w:val="-1"/>
          <w:lang w:eastAsia="zh-CN"/>
        </w:rPr>
        <w:t>校赛决赛（现场赛）包括如下环节：</w:t>
      </w:r>
    </w:p>
    <w:p w14:paraId="5C3D3819">
      <w:pPr>
        <w:pStyle w:val="2"/>
        <w:spacing w:before="109" w:line="227" w:lineRule="auto"/>
        <w:ind w:left="460"/>
        <w:outlineLvl w:val="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4"/>
          <w:sz w:val="20"/>
          <w:szCs w:val="20"/>
          <w:lang w:eastAsia="zh-CN"/>
        </w:rPr>
        <w:t>1.案例开发与展析</w:t>
      </w:r>
    </w:p>
    <w:p w14:paraId="339DF6C4">
      <w:pPr>
        <w:pStyle w:val="2"/>
        <w:spacing w:before="115" w:line="221" w:lineRule="auto"/>
        <w:ind w:left="449"/>
        <w:rPr>
          <w:rFonts w:hint="eastAsia"/>
          <w:lang w:eastAsia="zh-CN"/>
        </w:rPr>
      </w:pPr>
      <w:r>
        <w:rPr>
          <w:spacing w:val="-2"/>
          <w:lang w:eastAsia="zh-CN"/>
        </w:rPr>
        <w:t>（1）案例开发</w:t>
      </w:r>
    </w:p>
    <w:p w14:paraId="4E109551">
      <w:pPr>
        <w:pStyle w:val="2"/>
        <w:spacing w:before="105" w:line="315" w:lineRule="auto"/>
        <w:ind w:left="27" w:right="12" w:firstLine="417"/>
        <w:rPr>
          <w:rFonts w:hint="eastAsia"/>
          <w:lang w:eastAsia="zh-CN"/>
        </w:rPr>
      </w:pPr>
      <w:r>
        <w:rPr>
          <w:spacing w:val="-3"/>
          <w:lang w:eastAsia="zh-CN"/>
        </w:rPr>
        <w:t>参赛团队围绕多元文化生活、公共外交、商务沟通三个主题中的一个主题，根据团队成员自身经历、观察或阅读，自主开发与主题相关、具有原创性的跨文化交际案例。不得直接照搬、模仿影视作品。参赛团队运用跨文化交际相关概念和理论，对案例中的跨文化现象和</w:t>
      </w:r>
      <w:r>
        <w:rPr>
          <w:spacing w:val="-4"/>
          <w:lang w:eastAsia="zh-CN"/>
        </w:rPr>
        <w:t>交际策略等进行分析。</w:t>
      </w:r>
    </w:p>
    <w:p w14:paraId="6D3D35A4">
      <w:pPr>
        <w:pStyle w:val="2"/>
        <w:spacing w:line="221" w:lineRule="auto"/>
        <w:ind w:left="449"/>
        <w:rPr>
          <w:rFonts w:hint="eastAsia"/>
          <w:lang w:eastAsia="zh-CN"/>
        </w:rPr>
      </w:pPr>
      <w:r>
        <w:rPr>
          <w:spacing w:val="-2"/>
          <w:lang w:eastAsia="zh-CN"/>
        </w:rPr>
        <w:t>（2）案例展析</w:t>
      </w:r>
    </w:p>
    <w:p w14:paraId="603FC006">
      <w:pPr>
        <w:pStyle w:val="2"/>
        <w:spacing w:before="110" w:line="316" w:lineRule="auto"/>
        <w:ind w:left="24" w:right="13" w:firstLine="420"/>
        <w:rPr>
          <w:rFonts w:hint="eastAsia"/>
          <w:lang w:eastAsia="zh-CN"/>
        </w:rPr>
      </w:pPr>
      <w:r>
        <w:rPr>
          <w:spacing w:val="-1"/>
          <w:lang w:eastAsia="zh-CN"/>
        </w:rPr>
        <w:t>展示环节：参赛团队现场展示案例。展现形</w:t>
      </w:r>
      <w:r>
        <w:rPr>
          <w:spacing w:val="-2"/>
          <w:lang w:eastAsia="zh-CN"/>
        </w:rPr>
        <w:t>式不限（短剧表演、访谈等形式</w:t>
      </w:r>
      <w:r>
        <w:rPr>
          <w:spacing w:val="-29"/>
          <w:lang w:eastAsia="zh-CN"/>
        </w:rPr>
        <w:t>），</w:t>
      </w:r>
      <w:r>
        <w:rPr>
          <w:spacing w:val="-2"/>
          <w:lang w:eastAsia="zh-CN"/>
        </w:rPr>
        <w:t>要求自然、合理，能生动、清晰展示案例内容。</w:t>
      </w:r>
    </w:p>
    <w:p w14:paraId="08B6924E">
      <w:pPr>
        <w:pStyle w:val="2"/>
        <w:spacing w:before="2" w:line="313" w:lineRule="auto"/>
        <w:ind w:left="26" w:right="13" w:firstLine="419"/>
        <w:rPr>
          <w:rFonts w:hint="eastAsia"/>
          <w:lang w:eastAsia="zh-CN"/>
        </w:rPr>
      </w:pPr>
      <w:r>
        <w:rPr>
          <w:spacing w:val="-3"/>
          <w:lang w:eastAsia="zh-CN"/>
        </w:rPr>
        <w:t>分析环节：参赛团队运用跨文化交际相关概念和理论，对案例中的跨文化现象和问题进</w:t>
      </w:r>
      <w:r>
        <w:rPr>
          <w:spacing w:val="-6"/>
          <w:lang w:eastAsia="zh-CN"/>
        </w:rPr>
        <w:t>行分析（可配合</w:t>
      </w:r>
      <w:r>
        <w:rPr>
          <w:spacing w:val="-31"/>
          <w:lang w:eastAsia="zh-CN"/>
        </w:rPr>
        <w:t xml:space="preserve"> </w:t>
      </w:r>
      <w:r>
        <w:rPr>
          <w:spacing w:val="-6"/>
          <w:lang w:eastAsia="zh-CN"/>
        </w:rPr>
        <w:t>PPT</w:t>
      </w:r>
      <w:r>
        <w:rPr>
          <w:spacing w:val="-43"/>
          <w:lang w:eastAsia="zh-CN"/>
        </w:rPr>
        <w:t xml:space="preserve"> </w:t>
      </w:r>
      <w:r>
        <w:rPr>
          <w:spacing w:val="-6"/>
          <w:lang w:eastAsia="zh-CN"/>
        </w:rPr>
        <w:t>等多媒体辅助手段）。</w:t>
      </w:r>
    </w:p>
    <w:p w14:paraId="5F1771EE">
      <w:pPr>
        <w:pStyle w:val="2"/>
        <w:spacing w:before="1" w:line="221" w:lineRule="auto"/>
        <w:ind w:left="449"/>
        <w:rPr>
          <w:rFonts w:hint="eastAsia"/>
          <w:lang w:eastAsia="zh-CN"/>
        </w:rPr>
      </w:pPr>
      <w:r>
        <w:rPr>
          <w:spacing w:val="-2"/>
          <w:lang w:eastAsia="zh-CN"/>
        </w:rPr>
        <w:t>（3）回答评委提问</w:t>
      </w:r>
    </w:p>
    <w:p w14:paraId="217AAF20">
      <w:pPr>
        <w:pStyle w:val="2"/>
        <w:spacing w:before="108" w:line="221" w:lineRule="auto"/>
        <w:ind w:left="442"/>
        <w:rPr>
          <w:rFonts w:hint="eastAsia"/>
          <w:lang w:eastAsia="zh-CN"/>
        </w:rPr>
      </w:pPr>
      <w:r>
        <w:rPr>
          <w:lang w:eastAsia="zh-CN"/>
        </w:rPr>
        <w:t>评委针对参赛团队的案例内容和展析进行提问，</w:t>
      </w:r>
      <w:r>
        <w:rPr>
          <w:spacing w:val="-1"/>
          <w:lang w:eastAsia="zh-CN"/>
        </w:rPr>
        <w:t>由一名队员回答。</w:t>
      </w:r>
    </w:p>
    <w:p w14:paraId="7A9D152B">
      <w:pPr>
        <w:spacing w:line="221" w:lineRule="auto"/>
        <w:rPr>
          <w:lang w:eastAsia="zh-CN"/>
        </w:rPr>
        <w:sectPr>
          <w:pgSz w:w="11900" w:h="16839"/>
          <w:pgMar w:top="1431" w:right="1784" w:bottom="0" w:left="1784" w:header="0" w:footer="0" w:gutter="0"/>
          <w:cols w:space="720" w:num="1"/>
        </w:sectPr>
      </w:pPr>
    </w:p>
    <w:p w14:paraId="77421BD0">
      <w:pPr>
        <w:pStyle w:val="2"/>
        <w:spacing w:before="81" w:line="222" w:lineRule="auto"/>
        <w:ind w:left="449"/>
        <w:rPr>
          <w:rFonts w:hint="eastAsia"/>
          <w:lang w:eastAsia="zh-CN"/>
        </w:rPr>
      </w:pPr>
      <w:r>
        <w:rPr>
          <w:spacing w:val="-2"/>
          <w:lang w:eastAsia="zh-CN"/>
        </w:rPr>
        <w:t>（4）时间要求</w:t>
      </w:r>
    </w:p>
    <w:p w14:paraId="3E31EAE1">
      <w:pPr>
        <w:pStyle w:val="2"/>
        <w:spacing w:before="106" w:line="221" w:lineRule="auto"/>
        <w:ind w:left="445"/>
        <w:rPr>
          <w:rFonts w:hint="eastAsia"/>
          <w:lang w:eastAsia="zh-CN"/>
        </w:rPr>
      </w:pPr>
      <w:r>
        <w:rPr>
          <w:spacing w:val="1"/>
          <w:lang w:eastAsia="zh-CN"/>
        </w:rPr>
        <w:t>案例展析总时间为</w:t>
      </w:r>
      <w:r>
        <w:rPr>
          <w:spacing w:val="-23"/>
          <w:lang w:eastAsia="zh-CN"/>
        </w:rPr>
        <w:t xml:space="preserve"> </w:t>
      </w:r>
      <w:r>
        <w:rPr>
          <w:spacing w:val="1"/>
          <w:lang w:eastAsia="zh-CN"/>
        </w:rPr>
        <w:t>10</w:t>
      </w:r>
      <w:r>
        <w:rPr>
          <w:spacing w:val="-43"/>
          <w:lang w:eastAsia="zh-CN"/>
        </w:rPr>
        <w:t xml:space="preserve"> </w:t>
      </w:r>
      <w:r>
        <w:rPr>
          <w:spacing w:val="1"/>
          <w:lang w:eastAsia="zh-CN"/>
        </w:rPr>
        <w:t>分钟，最低不少于8</w:t>
      </w:r>
      <w:r>
        <w:rPr>
          <w:spacing w:val="-42"/>
          <w:lang w:eastAsia="zh-CN"/>
        </w:rPr>
        <w:t xml:space="preserve"> </w:t>
      </w:r>
      <w:r>
        <w:rPr>
          <w:spacing w:val="1"/>
          <w:lang w:eastAsia="zh-CN"/>
        </w:rPr>
        <w:t>分钟。回答评委提问时间为2</w:t>
      </w:r>
      <w:r>
        <w:rPr>
          <w:spacing w:val="-42"/>
          <w:lang w:eastAsia="zh-CN"/>
        </w:rPr>
        <w:t xml:space="preserve"> </w:t>
      </w:r>
      <w:r>
        <w:rPr>
          <w:spacing w:val="1"/>
          <w:lang w:eastAsia="zh-CN"/>
        </w:rPr>
        <w:t>分钟。</w:t>
      </w:r>
    </w:p>
    <w:p w14:paraId="1C0C9E5F">
      <w:pPr>
        <w:pStyle w:val="2"/>
        <w:spacing w:before="104" w:line="226" w:lineRule="auto"/>
        <w:ind w:left="447"/>
        <w:outlineLvl w:val="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6"/>
          <w:sz w:val="20"/>
          <w:szCs w:val="20"/>
          <w:lang w:eastAsia="zh-CN"/>
        </w:rPr>
        <w:t>2.名言名句解读</w:t>
      </w:r>
    </w:p>
    <w:p w14:paraId="2B2453D1">
      <w:pPr>
        <w:pStyle w:val="2"/>
        <w:spacing w:before="115" w:line="220" w:lineRule="auto"/>
        <w:ind w:left="445"/>
        <w:rPr>
          <w:rFonts w:hint="eastAsia"/>
          <w:lang w:eastAsia="zh-CN"/>
        </w:rPr>
      </w:pPr>
      <w:r>
        <w:rPr>
          <w:spacing w:val="1"/>
          <w:lang w:eastAsia="zh-CN"/>
        </w:rPr>
        <w:t>组委会提供一则跨文化相关的名言名句，由一名队员进行解读，时间为</w:t>
      </w:r>
      <w:r>
        <w:rPr>
          <w:lang w:eastAsia="zh-CN"/>
        </w:rPr>
        <w:t>2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分钟。</w:t>
      </w:r>
    </w:p>
    <w:p w14:paraId="2BB04056">
      <w:pPr>
        <w:pStyle w:val="2"/>
        <w:spacing w:before="108" w:line="316" w:lineRule="auto"/>
        <w:ind w:left="25" w:right="12" w:firstLine="426"/>
        <w:rPr>
          <w:rFonts w:hint="eastAsia"/>
          <w:lang w:eastAsia="zh-CN"/>
        </w:rPr>
      </w:pPr>
      <w:r>
        <w:rPr>
          <w:b/>
          <w:bCs/>
          <w:spacing w:val="-2"/>
          <w:sz w:val="20"/>
          <w:szCs w:val="20"/>
          <w:lang w:eastAsia="zh-CN"/>
        </w:rPr>
        <w:t>决赛注意事项</w:t>
      </w:r>
      <w:r>
        <w:rPr>
          <w:spacing w:val="-2"/>
          <w:lang w:eastAsia="zh-CN"/>
        </w:rPr>
        <w:t>：在以上比赛环节中，针对评委提问、名言名句解读等单人展示部分，各</w:t>
      </w:r>
      <w:r>
        <w:rPr>
          <w:spacing w:val="-3"/>
          <w:lang w:eastAsia="zh-CN"/>
        </w:rPr>
        <w:t>参赛团队须合理分工，由不同队员分别完成，重复选手作答的环节不得分，案例展析由团队</w:t>
      </w:r>
      <w:r>
        <w:rPr>
          <w:spacing w:val="-1"/>
          <w:lang w:eastAsia="zh-CN"/>
        </w:rPr>
        <w:t>成员共同配合完成。</w:t>
      </w:r>
    </w:p>
    <w:p w14:paraId="23A0DAB1">
      <w:pPr>
        <w:spacing w:line="291" w:lineRule="auto"/>
        <w:rPr>
          <w:lang w:eastAsia="zh-CN"/>
        </w:rPr>
      </w:pPr>
    </w:p>
    <w:p w14:paraId="6CF27BA9">
      <w:pPr>
        <w:spacing w:before="66" w:line="228" w:lineRule="auto"/>
        <w:ind w:left="449"/>
        <w:outlineLvl w:val="2"/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b/>
          <w:bCs/>
          <w:spacing w:val="3"/>
          <w:sz w:val="20"/>
          <w:szCs w:val="20"/>
          <w:lang w:eastAsia="zh-CN"/>
        </w:rPr>
        <w:t>三、评审规则</w:t>
      </w:r>
    </w:p>
    <w:p w14:paraId="2D7EE78D">
      <w:pPr>
        <w:pStyle w:val="2"/>
        <w:spacing w:before="113" w:line="314" w:lineRule="auto"/>
        <w:ind w:left="25" w:right="13" w:firstLine="418"/>
        <w:rPr>
          <w:rFonts w:hint="eastAsia"/>
          <w:lang w:eastAsia="zh-CN"/>
        </w:rPr>
      </w:pPr>
      <w:r>
        <w:rPr>
          <w:spacing w:val="3"/>
          <w:lang w:eastAsia="zh-CN"/>
        </w:rPr>
        <w:t>校赛旨在考查学生在多元文化和跨文化语境下分析问题和解决</w:t>
      </w:r>
      <w:r>
        <w:rPr>
          <w:spacing w:val="2"/>
          <w:lang w:eastAsia="zh-CN"/>
        </w:rPr>
        <w:t>问题的能力，具体表现</w:t>
      </w:r>
      <w:r>
        <w:rPr>
          <w:spacing w:val="-1"/>
          <w:lang w:eastAsia="zh-CN"/>
        </w:rPr>
        <w:t>为跨文化意识与敏感性、跨文化理解与阐释能力、跨文化情感态度和跨文化协作能力。</w:t>
      </w:r>
    </w:p>
    <w:p w14:paraId="7885C816">
      <w:pPr>
        <w:pStyle w:val="2"/>
        <w:spacing w:before="1" w:line="225" w:lineRule="auto"/>
        <w:ind w:left="456"/>
        <w:outlineLvl w:val="3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5"/>
          <w:sz w:val="20"/>
          <w:szCs w:val="20"/>
          <w:lang w:eastAsia="zh-CN"/>
        </w:rPr>
        <w:t>（一）评分依据</w:t>
      </w:r>
    </w:p>
    <w:p w14:paraId="3F59F937">
      <w:pPr>
        <w:pStyle w:val="2"/>
        <w:spacing w:before="116" w:line="226" w:lineRule="auto"/>
        <w:ind w:left="460"/>
        <w:outlineLvl w:val="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3"/>
          <w:sz w:val="20"/>
          <w:szCs w:val="20"/>
          <w:lang w:eastAsia="zh-CN"/>
        </w:rPr>
        <w:t>1.三个维度</w:t>
      </w:r>
    </w:p>
    <w:p w14:paraId="79BA8B51">
      <w:pPr>
        <w:pStyle w:val="2"/>
        <w:spacing w:before="115" w:line="267" w:lineRule="auto"/>
        <w:ind w:left="25" w:right="12" w:firstLine="423"/>
        <w:rPr>
          <w:rFonts w:hint="eastAsia"/>
          <w:lang w:eastAsia="zh-CN"/>
        </w:rPr>
      </w:pPr>
      <w:r>
        <w:rPr>
          <w:lang w:eastAsia="zh-CN"/>
        </w:rPr>
        <w:t>（1）内容维度：跨文化交际案例的深度和广度、真实性和原创</w:t>
      </w:r>
      <w:r>
        <w:rPr>
          <w:spacing w:val="-1"/>
          <w:lang w:eastAsia="zh-CN"/>
        </w:rPr>
        <w:t>性，跨文化交际概念和理论运用的深入性与合理性；</w:t>
      </w:r>
    </w:p>
    <w:p w14:paraId="047FA88D">
      <w:pPr>
        <w:pStyle w:val="2"/>
        <w:spacing w:before="107" w:line="269" w:lineRule="auto"/>
        <w:ind w:left="26" w:right="12" w:firstLine="422"/>
        <w:rPr>
          <w:rFonts w:hint="eastAsia"/>
          <w:lang w:eastAsia="zh-CN"/>
        </w:rPr>
      </w:pPr>
      <w:r>
        <w:rPr>
          <w:lang w:eastAsia="zh-CN"/>
        </w:rPr>
        <w:t>（2）效用维度：跨文化分析是否恰当，提出的建议是否合理，</w:t>
      </w:r>
      <w:r>
        <w:rPr>
          <w:spacing w:val="-1"/>
          <w:lang w:eastAsia="zh-CN"/>
        </w:rPr>
        <w:t>形成的反思是否具有启</w:t>
      </w:r>
      <w:r>
        <w:rPr>
          <w:spacing w:val="-4"/>
          <w:lang w:eastAsia="zh-CN"/>
        </w:rPr>
        <w:t>发性；</w:t>
      </w:r>
    </w:p>
    <w:p w14:paraId="3071E218">
      <w:pPr>
        <w:pStyle w:val="2"/>
        <w:spacing w:before="109" w:line="267" w:lineRule="auto"/>
        <w:ind w:left="25" w:right="12" w:firstLine="423"/>
        <w:rPr>
          <w:rFonts w:hint="eastAsia"/>
          <w:lang w:eastAsia="zh-CN"/>
        </w:rPr>
      </w:pPr>
      <w:r>
        <w:rPr>
          <w:lang w:eastAsia="zh-CN"/>
        </w:rPr>
        <w:t>（3）呈现维度：现场展示是否体现较高的综合素养，是否具有</w:t>
      </w:r>
      <w:r>
        <w:rPr>
          <w:spacing w:val="-1"/>
          <w:lang w:eastAsia="zh-CN"/>
        </w:rPr>
        <w:t>逻辑性、表现力和灵活</w:t>
      </w:r>
      <w:r>
        <w:rPr>
          <w:spacing w:val="-5"/>
          <w:lang w:eastAsia="zh-CN"/>
        </w:rPr>
        <w:t>性。</w:t>
      </w:r>
    </w:p>
    <w:p w14:paraId="1BFB8764">
      <w:pPr>
        <w:pStyle w:val="2"/>
        <w:spacing w:before="108" w:line="225" w:lineRule="auto"/>
        <w:ind w:left="447"/>
        <w:outlineLvl w:val="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5"/>
          <w:sz w:val="20"/>
          <w:szCs w:val="20"/>
          <w:lang w:eastAsia="zh-CN"/>
        </w:rPr>
        <w:t>2.五个视角</w:t>
      </w:r>
    </w:p>
    <w:p w14:paraId="1B85C48C">
      <w:pPr>
        <w:pStyle w:val="2"/>
        <w:spacing w:before="115" w:line="269" w:lineRule="auto"/>
        <w:ind w:left="25" w:right="12" w:firstLine="424"/>
        <w:rPr>
          <w:rFonts w:hint="eastAsia"/>
          <w:lang w:eastAsia="zh-CN"/>
        </w:rPr>
      </w:pPr>
      <w:r>
        <w:rPr>
          <w:lang w:eastAsia="zh-CN"/>
        </w:rPr>
        <w:t>（1）是否具有跨文化意识和敏感性，即是否能够发现文化差异</w:t>
      </w:r>
      <w:r>
        <w:rPr>
          <w:spacing w:val="-1"/>
          <w:lang w:eastAsia="zh-CN"/>
        </w:rPr>
        <w:t>并从文化差异的角度分</w:t>
      </w:r>
      <w:r>
        <w:rPr>
          <w:spacing w:val="-9"/>
          <w:lang w:eastAsia="zh-CN"/>
        </w:rPr>
        <w:t>析问题；</w:t>
      </w:r>
    </w:p>
    <w:p w14:paraId="75D1F1B1">
      <w:pPr>
        <w:pStyle w:val="2"/>
        <w:spacing w:before="103" w:line="221" w:lineRule="auto"/>
        <w:ind w:right="13"/>
        <w:jc w:val="right"/>
        <w:rPr>
          <w:rFonts w:hint="eastAsia"/>
          <w:lang w:eastAsia="zh-CN"/>
        </w:rPr>
      </w:pPr>
      <w:r>
        <w:rPr>
          <w:spacing w:val="-6"/>
          <w:lang w:eastAsia="zh-CN"/>
        </w:rPr>
        <w:t>（2）是否具有跨文化情感态度，即对不同文化是否持开放、好奇、尊重、理解的态度；</w:t>
      </w:r>
    </w:p>
    <w:p w14:paraId="12321468">
      <w:pPr>
        <w:pStyle w:val="2"/>
        <w:spacing w:before="109" w:line="221" w:lineRule="auto"/>
        <w:ind w:left="449"/>
        <w:rPr>
          <w:rFonts w:hint="eastAsia"/>
          <w:lang w:eastAsia="zh-CN"/>
        </w:rPr>
      </w:pPr>
      <w:r>
        <w:rPr>
          <w:spacing w:val="-1"/>
          <w:lang w:eastAsia="zh-CN"/>
        </w:rPr>
        <w:t>（3）是否掌握并运用跨文化交际概念和理论；</w:t>
      </w:r>
    </w:p>
    <w:p w14:paraId="26458C0F">
      <w:pPr>
        <w:pStyle w:val="2"/>
        <w:spacing w:before="108" w:line="269" w:lineRule="auto"/>
        <w:ind w:left="31" w:right="12" w:firstLine="418"/>
        <w:rPr>
          <w:rFonts w:hint="eastAsia"/>
          <w:lang w:eastAsia="zh-CN"/>
        </w:rPr>
      </w:pPr>
      <w:r>
        <w:rPr>
          <w:lang w:eastAsia="zh-CN"/>
        </w:rPr>
        <w:t>（4）是否具有跨文化交际能力，即是否表现出善于观察、倾听</w:t>
      </w:r>
      <w:r>
        <w:rPr>
          <w:spacing w:val="-1"/>
          <w:lang w:eastAsia="zh-CN"/>
        </w:rPr>
        <w:t>、讲述、对话和思辨等</w:t>
      </w:r>
      <w:r>
        <w:rPr>
          <w:spacing w:val="-15"/>
          <w:lang w:eastAsia="zh-CN"/>
        </w:rPr>
        <w:t>能力；</w:t>
      </w:r>
    </w:p>
    <w:p w14:paraId="551AF0B7">
      <w:pPr>
        <w:pStyle w:val="2"/>
        <w:spacing w:before="105" w:line="221" w:lineRule="auto"/>
        <w:ind w:left="449"/>
        <w:rPr>
          <w:rFonts w:hint="eastAsia"/>
          <w:lang w:eastAsia="zh-CN"/>
        </w:rPr>
      </w:pPr>
      <w:r>
        <w:rPr>
          <w:spacing w:val="-4"/>
          <w:lang w:eastAsia="zh-CN"/>
        </w:rPr>
        <w:t>（5）是否具有创新意识。</w:t>
      </w:r>
    </w:p>
    <w:p w14:paraId="05919173">
      <w:pPr>
        <w:pStyle w:val="2"/>
        <w:spacing w:before="108" w:line="226" w:lineRule="auto"/>
        <w:ind w:left="456"/>
        <w:outlineLvl w:val="3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6"/>
          <w:sz w:val="20"/>
          <w:szCs w:val="20"/>
          <w:lang w:eastAsia="zh-CN"/>
        </w:rPr>
        <w:t>（二）分值及评分标准</w:t>
      </w:r>
    </w:p>
    <w:p w14:paraId="3C858AA5">
      <w:pPr>
        <w:pStyle w:val="2"/>
        <w:spacing w:before="116" w:line="225" w:lineRule="auto"/>
        <w:ind w:left="460"/>
        <w:outlineLvl w:val="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4"/>
          <w:sz w:val="20"/>
          <w:szCs w:val="20"/>
          <w:lang w:eastAsia="zh-CN"/>
        </w:rPr>
        <w:t>1.初赛文本评审</w:t>
      </w:r>
    </w:p>
    <w:p w14:paraId="6A24B9AD">
      <w:pPr>
        <w:spacing w:before="147" w:line="3214" w:lineRule="exact"/>
        <w:ind w:firstLine="435"/>
      </w:pPr>
      <w:r>
        <w:rPr>
          <w:position w:val="-64"/>
        </w:rPr>
        <w:drawing>
          <wp:inline distT="0" distB="0" distL="0" distR="0">
            <wp:extent cx="4244340" cy="2040255"/>
            <wp:effectExtent l="0" t="0" r="10160" b="444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755" cy="20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4049B">
      <w:pPr>
        <w:spacing w:line="3214" w:lineRule="exact"/>
        <w:sectPr>
          <w:pgSz w:w="11900" w:h="16839"/>
          <w:pgMar w:top="1431" w:right="1784" w:bottom="0" w:left="1784" w:header="0" w:footer="0" w:gutter="0"/>
          <w:cols w:space="720" w:num="1"/>
        </w:sectPr>
      </w:pPr>
    </w:p>
    <w:p w14:paraId="35617138">
      <w:pPr>
        <w:pStyle w:val="2"/>
        <w:spacing w:before="82" w:line="226" w:lineRule="auto"/>
        <w:ind w:left="447"/>
        <w:outlineLvl w:val="4"/>
        <w:rPr>
          <w:rFonts w:hint="eastAsia"/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2.现场决赛</w:t>
      </w:r>
    </w:p>
    <w:p w14:paraId="7641530C">
      <w:pPr>
        <w:spacing w:before="71" w:line="8986" w:lineRule="exact"/>
        <w:ind w:firstLine="435"/>
      </w:pPr>
      <w:r>
        <w:rPr>
          <w:position w:val="-179"/>
        </w:rPr>
        <w:drawing>
          <wp:inline distT="0" distB="0" distL="0" distR="0">
            <wp:extent cx="4359275" cy="5706110"/>
            <wp:effectExtent l="0" t="0" r="9525" b="889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9909" cy="570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EE2B">
      <w:pPr>
        <w:pStyle w:val="2"/>
        <w:spacing w:before="105" w:line="227" w:lineRule="auto"/>
        <w:ind w:left="456"/>
        <w:outlineLvl w:val="3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5"/>
          <w:sz w:val="20"/>
          <w:szCs w:val="20"/>
          <w:lang w:eastAsia="zh-CN"/>
        </w:rPr>
        <w:t>（三）评委小组</w:t>
      </w:r>
    </w:p>
    <w:p w14:paraId="218CB65F">
      <w:pPr>
        <w:pStyle w:val="2"/>
        <w:spacing w:before="107" w:line="317" w:lineRule="auto"/>
        <w:ind w:left="25" w:right="12" w:firstLine="443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由组委会根据大赛章程确定校赛评委小组，</w:t>
      </w:r>
      <w:r>
        <w:rPr>
          <w:spacing w:val="-4"/>
          <w:lang w:eastAsia="zh-CN"/>
        </w:rPr>
        <w:t>评委需具备副教授以上职称。评委中指定一</w:t>
      </w:r>
      <w:r>
        <w:rPr>
          <w:spacing w:val="-3"/>
          <w:lang w:eastAsia="zh-CN"/>
        </w:rPr>
        <w:t>名评议组长，一旦出现争议，由评议组长负责召集评委进行合议，如果合议无果，则交校赛</w:t>
      </w:r>
      <w:r>
        <w:rPr>
          <w:spacing w:val="-2"/>
          <w:lang w:eastAsia="zh-CN"/>
        </w:rPr>
        <w:t>组委会商议仲裁。</w:t>
      </w:r>
    </w:p>
    <w:p w14:paraId="2E3D30AE">
      <w:pPr>
        <w:pStyle w:val="2"/>
        <w:spacing w:line="226" w:lineRule="auto"/>
        <w:ind w:left="456"/>
        <w:outlineLvl w:val="3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5"/>
          <w:sz w:val="20"/>
          <w:szCs w:val="20"/>
          <w:lang w:eastAsia="zh-CN"/>
        </w:rPr>
        <w:t>（四）计分方式</w:t>
      </w:r>
    </w:p>
    <w:p w14:paraId="7C8158B3">
      <w:pPr>
        <w:pStyle w:val="2"/>
        <w:spacing w:before="109" w:line="221" w:lineRule="auto"/>
        <w:ind w:left="442"/>
        <w:rPr>
          <w:rFonts w:hint="eastAsia"/>
          <w:lang w:eastAsia="zh-CN"/>
        </w:rPr>
      </w:pPr>
      <w:r>
        <w:rPr>
          <w:spacing w:val="-5"/>
          <w:lang w:eastAsia="zh-CN"/>
        </w:rPr>
        <w:t>初赛满分为</w:t>
      </w:r>
      <w:r>
        <w:rPr>
          <w:spacing w:val="-30"/>
          <w:lang w:eastAsia="zh-CN"/>
        </w:rPr>
        <w:t xml:space="preserve"> </w:t>
      </w:r>
      <w:r>
        <w:rPr>
          <w:spacing w:val="-5"/>
          <w:lang w:eastAsia="zh-CN"/>
        </w:rPr>
        <w:t>100</w:t>
      </w:r>
      <w:r>
        <w:rPr>
          <w:spacing w:val="-43"/>
          <w:lang w:eastAsia="zh-CN"/>
        </w:rPr>
        <w:t xml:space="preserve"> </w:t>
      </w:r>
      <w:r>
        <w:rPr>
          <w:spacing w:val="-5"/>
          <w:lang w:eastAsia="zh-CN"/>
        </w:rPr>
        <w:t>分。</w:t>
      </w:r>
    </w:p>
    <w:p w14:paraId="1C56A43F">
      <w:pPr>
        <w:pStyle w:val="2"/>
        <w:spacing w:before="110" w:line="318" w:lineRule="auto"/>
        <w:ind w:left="25" w:right="13" w:firstLine="424"/>
      </w:pPr>
      <w:r>
        <w:rPr>
          <w:spacing w:val="-5"/>
          <w:lang w:eastAsia="zh-CN"/>
        </w:rPr>
        <w:t>决赛满分为</w:t>
      </w:r>
      <w:r>
        <w:rPr>
          <w:spacing w:val="-15"/>
          <w:lang w:eastAsia="zh-CN"/>
        </w:rPr>
        <w:t xml:space="preserve"> </w:t>
      </w:r>
      <w:r>
        <w:rPr>
          <w:spacing w:val="-5"/>
          <w:lang w:eastAsia="zh-CN"/>
        </w:rPr>
        <w:t>100</w:t>
      </w:r>
      <w:r>
        <w:rPr>
          <w:spacing w:val="-43"/>
          <w:lang w:eastAsia="zh-CN"/>
        </w:rPr>
        <w:t xml:space="preserve"> </w:t>
      </w:r>
      <w:r>
        <w:rPr>
          <w:spacing w:val="-5"/>
          <w:lang w:eastAsia="zh-CN"/>
        </w:rPr>
        <w:t>分，案例展析环节</w:t>
      </w:r>
      <w:r>
        <w:rPr>
          <w:spacing w:val="-45"/>
          <w:lang w:eastAsia="zh-CN"/>
        </w:rPr>
        <w:t xml:space="preserve"> </w:t>
      </w:r>
      <w:r>
        <w:rPr>
          <w:spacing w:val="-5"/>
          <w:lang w:eastAsia="zh-CN"/>
        </w:rPr>
        <w:t>80</w:t>
      </w:r>
      <w:r>
        <w:rPr>
          <w:spacing w:val="-42"/>
          <w:lang w:eastAsia="zh-CN"/>
        </w:rPr>
        <w:t xml:space="preserve"> </w:t>
      </w:r>
      <w:r>
        <w:rPr>
          <w:spacing w:val="-5"/>
          <w:lang w:eastAsia="zh-CN"/>
        </w:rPr>
        <w:t>分，名言名句解读环节</w:t>
      </w:r>
      <w:r>
        <w:rPr>
          <w:spacing w:val="-43"/>
          <w:lang w:eastAsia="zh-CN"/>
        </w:rPr>
        <w:t xml:space="preserve"> </w:t>
      </w:r>
      <w:r>
        <w:rPr>
          <w:spacing w:val="-5"/>
          <w:lang w:eastAsia="zh-CN"/>
        </w:rPr>
        <w:t>20</w:t>
      </w:r>
      <w:r>
        <w:rPr>
          <w:spacing w:val="-42"/>
          <w:lang w:eastAsia="zh-CN"/>
        </w:rPr>
        <w:t xml:space="preserve"> </w:t>
      </w:r>
      <w:r>
        <w:rPr>
          <w:spacing w:val="-5"/>
          <w:lang w:eastAsia="zh-CN"/>
        </w:rPr>
        <w:t>分，参赛团队最终得分取各评委的平均分（保留两位小数点）。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C157C"/>
    <w:rsid w:val="441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2026-05-15T06:39:00Z</dcterms:created>
  <dc:creator>琛琛</dc:creator>
  <cp:lastModifiedBy>琛琛</cp:lastModifiedBy>
  <dcterms:modified xsi:type="dcterms:W3CDTF">2026-05-15T06:40:33Z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996B318054044100A7AF40CCCF8C9BF9_11</vt:lpwstr>
  </property>
  <property fmtid="{D5CDD505-2E9C-101B-9397-08002B2CF9AE}" pid="4" name="KSOTemplateDocerSaveRecord">
    <vt:lpwstr>eyJoZGlkIjoiZTNiMmJjMGUyMDNhMGI0MjllZTc4OTE3ODRjOTBjMWQiLCJ1c2VySWQiOiIzNDgyNDMwMzAifQ==</vt:lpwstr>
  </property>
</Properties>
</file>