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附件4</w:t>
      </w:r>
    </w:p>
    <w:p>
      <w:pPr>
        <w:spacing w:before="0" w:after="240" w:line="324" w:lineRule="auto"/>
        <w:jc w:val="center"/>
        <w:rPr>
          <w:rFonts w:hint="eastAsia" w:ascii="微软雅黑" w:hAnsi="微软雅黑" w:cs="微软雅黑"/>
          <w:b/>
          <w:sz w:val="52"/>
          <w:szCs w:val="52"/>
        </w:rPr>
      </w:pPr>
    </w:p>
    <w:p>
      <w:pPr>
        <w:spacing w:before="0" w:after="240" w:line="324" w:lineRule="auto"/>
        <w:jc w:val="both"/>
        <w:rPr>
          <w:rFonts w:hint="eastAsia" w:ascii="微软雅黑" w:hAnsi="微软雅黑" w:cs="微软雅黑"/>
          <w:b/>
          <w:sz w:val="52"/>
          <w:szCs w:val="52"/>
        </w:rPr>
      </w:pPr>
    </w:p>
    <w:p>
      <w:pPr>
        <w:spacing w:before="0" w:after="240" w:line="324" w:lineRule="auto"/>
        <w:jc w:val="center"/>
        <w:rPr>
          <w:rFonts w:hint="eastAsia" w:ascii="微软雅黑" w:hAnsi="微软雅黑" w:eastAsia="微软雅黑" w:cs="微软雅黑"/>
          <w:sz w:val="52"/>
          <w:szCs w:val="52"/>
        </w:rPr>
      </w:pPr>
      <w:r>
        <w:rPr>
          <w:rFonts w:hint="eastAsia" w:ascii="微软雅黑" w:hAnsi="微软雅黑" w:cs="微软雅黑"/>
          <w:b/>
          <w:sz w:val="52"/>
          <w:szCs w:val="52"/>
        </w:rPr>
        <w:t>云南省教育科学规划课题管理系统</w:t>
      </w:r>
    </w:p>
    <w:p>
      <w:pPr>
        <w:spacing w:before="0" w:after="160" w:line="324" w:lineRule="auto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/>
          <w:color w:val="165DFF"/>
          <w:sz w:val="44"/>
        </w:rPr>
        <w:t>申报操作手册</w:t>
      </w:r>
    </w:p>
    <w:p>
      <w:pPr>
        <w:spacing w:before="0" w:after="720" w:line="324" w:lineRule="auto"/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cs="微软雅黑"/>
          <w:b w:val="0"/>
          <w:color w:val="505050"/>
          <w:sz w:val="32"/>
          <w:szCs w:val="32"/>
        </w:rPr>
        <w:t>本手册说明项目申请人从注册登录、选择批次、填报提交申请书，到单位管理员完成初审的全流程操作。</w:t>
      </w:r>
    </w:p>
    <w:p>
      <w:pPr>
        <w:rPr>
          <w:rFonts w:hint="eastAsia" w:ascii="微软雅黑" w:hAnsi="微软雅黑" w:eastAsia="微软雅黑" w:cs="微软雅黑"/>
        </w:rPr>
      </w:pPr>
      <w:r>
        <w:br w:type="page"/>
      </w:r>
    </w:p>
    <w:p>
      <w:pPr>
        <w:pStyle w:val="3"/>
        <w:spacing w:before="0" w:after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一、申报入口与账号准备</w:t>
      </w:r>
    </w:p>
    <w:p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1.1 平台入口</w:t>
      </w:r>
    </w:p>
    <w:p>
      <w:pPr>
        <w:tabs>
          <w:tab w:val="left" w:pos="2484"/>
        </w:tabs>
        <w:rPr>
          <w:rFonts w:hint="eastAsia"/>
          <w:b w:val="0"/>
          <w:sz w:val="28"/>
          <w:szCs w:val="28"/>
          <w:lang w:eastAsia="zh-CN"/>
        </w:rPr>
      </w:pPr>
      <w:r>
        <w:rPr>
          <w:b w:val="0"/>
          <w:sz w:val="28"/>
          <w:szCs w:val="28"/>
        </w:rPr>
        <w:t>申报人可通过「云南教育公共服务平台」（https://eps.ynjy.cn/）进入本系统；</w:t>
      </w:r>
      <w:r>
        <w:rPr>
          <w:b w:val="0"/>
          <w:sz w:val="28"/>
          <w:szCs w:val="28"/>
          <w:lang w:eastAsia="zh-CN"/>
        </w:rPr>
        <w:t>注意“云南</w:t>
      </w:r>
      <w:r>
        <w:rPr>
          <w:rFonts w:hint="eastAsia"/>
          <w:b w:val="0"/>
          <w:sz w:val="28"/>
          <w:szCs w:val="28"/>
          <w:lang w:eastAsia="zh-CN"/>
        </w:rPr>
        <w:t>教育</w:t>
      </w:r>
      <w:r>
        <w:rPr>
          <w:b w:val="0"/>
          <w:sz w:val="28"/>
          <w:szCs w:val="28"/>
          <w:lang w:eastAsia="zh-CN"/>
        </w:rPr>
        <w:t>公共服务平台”只可使用短信登录。</w:t>
      </w:r>
      <w:r>
        <w:rPr>
          <w:rFonts w:hint="eastAsia"/>
          <w:b w:val="0"/>
          <w:sz w:val="28"/>
          <w:szCs w:val="28"/>
          <w:lang w:eastAsia="zh-CN"/>
        </w:rPr>
        <w:t>如未注册过该平台或收不到验证码，请联系技术人员（0871-65103591）。</w:t>
      </w:r>
    </w:p>
    <w:p>
      <w:pPr>
        <w:tabs>
          <w:tab w:val="left" w:pos="2484"/>
        </w:tabs>
        <w:rPr>
          <w:rFonts w:hint="eastAsia" w:ascii="微软雅黑" w:hAnsi="微软雅黑" w:eastAsia="微软雅黑" w:cs="微软雅黑"/>
        </w:rPr>
      </w:pPr>
      <w:r>
        <w:rPr>
          <w:rFonts w:hint="eastAsia"/>
          <w:b w:val="0"/>
          <w:sz w:val="28"/>
          <w:szCs w:val="28"/>
          <w:lang w:eastAsia="zh-CN"/>
        </w:rPr>
        <w:t>登录后，在“管理服务”一栏找到“云南省教育科学规划课题管理系统”。</w:t>
      </w:r>
    </w:p>
    <w:p>
      <w:pPr>
        <w:rPr>
          <w:rFonts w:hint="eastAsia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328295</wp:posOffset>
            </wp:positionH>
            <wp:positionV relativeFrom="paragraph">
              <wp:posOffset>3272155</wp:posOffset>
            </wp:positionV>
            <wp:extent cx="5274310" cy="2705100"/>
            <wp:effectExtent l="0" t="0" r="2540" b="0"/>
            <wp:wrapSquare wrapText="largest"/>
            <wp:docPr id="1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72810" cy="3060700"/>
            <wp:effectExtent l="0" t="0" r="0" b="0"/>
            <wp:wrapSquare wrapText="largest"/>
            <wp:docPr id="1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像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0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before="0" w:after="120" w:line="324" w:lineRule="auto"/>
        <w:jc w:val="center"/>
        <w:rPr>
          <w:rFonts w:hint="eastAsia" w:ascii="微软雅黑" w:hAnsi="微软雅黑" w:cs="微软雅黑"/>
          <w:b w:val="0"/>
          <w:color w:val="505050"/>
          <w:sz w:val="20"/>
        </w:rPr>
      </w:pPr>
    </w:p>
    <w:p>
      <w:pPr>
        <w:spacing w:before="0" w:after="120" w:line="324" w:lineRule="auto"/>
        <w:jc w:val="center"/>
        <w:rPr>
          <w:rFonts w:hint="eastAsia" w:ascii="微软雅黑" w:hAnsi="微软雅黑" w:cs="微软雅黑"/>
          <w:b w:val="0"/>
          <w:color w:val="505050"/>
          <w:sz w:val="20"/>
        </w:rPr>
      </w:pPr>
    </w:p>
    <w:p>
      <w:pPr>
        <w:spacing w:before="0" w:after="120" w:line="324" w:lineRule="auto"/>
        <w:jc w:val="center"/>
        <w:rPr>
          <w:rFonts w:hint="eastAsia" w:ascii="微软雅黑" w:hAnsi="微软雅黑" w:cs="微软雅黑"/>
          <w:b w:val="0"/>
          <w:color w:val="505050"/>
          <w:sz w:val="20"/>
        </w:rPr>
      </w:pPr>
    </w:p>
    <w:p>
      <w:pPr>
        <w:spacing w:before="0" w:after="120" w:line="324" w:lineRule="auto"/>
        <w:jc w:val="center"/>
        <w:rPr>
          <w:rFonts w:hint="eastAsia" w:ascii="微软雅黑" w:hAnsi="微软雅黑" w:cs="微软雅黑"/>
          <w:b w:val="0"/>
          <w:color w:val="505050"/>
          <w:sz w:val="20"/>
        </w:rPr>
      </w:pPr>
    </w:p>
    <w:p>
      <w:pPr>
        <w:spacing w:before="0" w:after="120" w:line="324" w:lineRule="auto"/>
        <w:jc w:val="center"/>
        <w:rPr>
          <w:rFonts w:hint="eastAsia" w:ascii="微软雅黑" w:hAnsi="微软雅黑" w:cs="微软雅黑"/>
          <w:b w:val="0"/>
          <w:color w:val="505050"/>
          <w:sz w:val="20"/>
        </w:rPr>
      </w:pPr>
    </w:p>
    <w:p>
      <w:pPr>
        <w:spacing w:before="0" w:after="120" w:line="324" w:lineRule="auto"/>
        <w:jc w:val="center"/>
        <w:rPr>
          <w:rFonts w:hint="eastAsia" w:ascii="微软雅黑" w:hAnsi="微软雅黑" w:cs="微软雅黑"/>
          <w:b w:val="0"/>
          <w:color w:val="505050"/>
          <w:sz w:val="20"/>
        </w:rPr>
      </w:pPr>
    </w:p>
    <w:p>
      <w:pPr>
        <w:spacing w:before="0" w:after="120" w:line="324" w:lineRule="auto"/>
        <w:jc w:val="center"/>
        <w:rPr>
          <w:rFonts w:hint="eastAsia" w:ascii="微软雅黑" w:hAnsi="微软雅黑" w:cs="微软雅黑"/>
          <w:b w:val="0"/>
          <w:color w:val="505050"/>
          <w:sz w:val="20"/>
        </w:rPr>
      </w:pPr>
    </w:p>
    <w:p>
      <w:pPr>
        <w:spacing w:before="0" w:after="120" w:line="324" w:lineRule="auto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color w:val="505050"/>
          <w:sz w:val="20"/>
        </w:rPr>
        <w:t xml:space="preserve">图 </w:t>
      </w:r>
      <w:r>
        <w:rPr>
          <w:rFonts w:hint="eastAsia" w:eastAsia="微软雅黑" w:cs="微软雅黑"/>
          <w:b w:val="0"/>
          <w:color w:val="505050"/>
          <w:sz w:val="20"/>
        </w:rPr>
        <w:t xml:space="preserve">1-1  </w:t>
      </w:r>
      <w:r>
        <w:rPr>
          <w:rFonts w:hint="eastAsia" w:ascii="微软雅黑" w:hAnsi="微软雅黑" w:cs="微软雅黑"/>
          <w:b w:val="0"/>
          <w:color w:val="505050"/>
          <w:sz w:val="20"/>
        </w:rPr>
        <w:t>登录页注册入口：项目申请人可自行注册账号</w:t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60960</wp:posOffset>
            </wp:positionH>
            <wp:positionV relativeFrom="paragraph">
              <wp:posOffset>204470</wp:posOffset>
            </wp:positionV>
            <wp:extent cx="5876925" cy="3014345"/>
            <wp:effectExtent l="0" t="0" r="0" b="0"/>
            <wp:wrapTopAndBottom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01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72810" cy="3060700"/>
            <wp:effectExtent l="0" t="0" r="0" b="0"/>
            <wp:wrapSquare wrapText="largest"/>
            <wp:docPr id="3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0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cs="微软雅黑"/>
          <w:b/>
          <w:bCs/>
          <w:color w:val="auto"/>
        </w:rPr>
      </w:pPr>
      <w:r>
        <w:rPr>
          <w:rFonts w:hint="eastAsia" w:ascii="微软雅黑" w:hAnsi="微软雅黑" w:cs="微软雅黑"/>
          <w:b/>
          <w:bCs/>
          <w:color w:val="auto"/>
        </w:rPr>
        <w:t>云南省教育科学规划项目管理系统技术支持：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auto"/>
          <w:lang w:eastAsia="zh-CN"/>
        </w:rPr>
      </w:pPr>
      <w:r>
        <w:rPr>
          <w:rFonts w:hint="eastAsia" w:ascii="微软雅黑" w:hAnsi="微软雅黑" w:cs="微软雅黑"/>
          <w:b/>
          <w:bCs/>
          <w:color w:val="auto"/>
        </w:rPr>
        <w:t>请扫描系统首页</w:t>
      </w:r>
      <w:r>
        <w:rPr>
          <w:rFonts w:hint="eastAsia" w:cs="微软雅黑"/>
          <w:b/>
          <w:bCs/>
          <w:color w:val="auto"/>
          <w:lang w:eastAsia="zh-CN"/>
        </w:rPr>
        <w:t>右下角</w:t>
      </w:r>
      <w:r>
        <w:rPr>
          <w:rFonts w:hint="eastAsia" w:ascii="微软雅黑" w:hAnsi="微软雅黑" w:cs="微软雅黑"/>
          <w:b/>
          <w:bCs/>
          <w:color w:val="auto"/>
        </w:rPr>
        <w:t>二维码，根据提示获取在线帮助</w:t>
      </w:r>
      <w:r>
        <w:rPr>
          <w:rFonts w:hint="eastAsia" w:cs="微软雅黑"/>
          <w:b/>
          <w:bCs/>
          <w:color w:val="auto"/>
          <w:lang w:eastAsia="zh-CN"/>
        </w:rPr>
        <w:t>。</w:t>
      </w:r>
    </w:p>
    <w:p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1.2 项目申请人注册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首次使用须在登录页完成注册，填写姓名、身份证号、邮箱等基本信息并设置密码。注册成功后使用身份证号或邮箱登录系统。</w:t>
      </w:r>
    </w:p>
    <w:p>
      <w:pPr>
        <w:spacing w:before="0" w:after="120" w:line="324" w:lineRule="auto"/>
        <w:rPr>
          <w:rFonts w:hint="eastAsia" w:cs="微软雅黑"/>
          <w:b w:val="0"/>
          <w:sz w:val="22"/>
          <w:lang w:eastAsia="zh-CN"/>
        </w:rPr>
      </w:pPr>
      <w:r>
        <w:rPr>
          <w:rFonts w:hint="eastAsia" w:cs="微软雅黑"/>
          <w:b w:val="0"/>
          <w:sz w:val="22"/>
          <w:lang w:eastAsia="zh-CN"/>
        </w:rPr>
        <w:t>已有账号者使用原有的账号密码登录，无需重复注册。如忘记账号和密码可点击“忘记密码”输入身份证和姓名查看账号并重置密码。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其他角色（单位管理员、评审专家）账号由管理员分配，无需自行注册。</w:t>
      </w:r>
    </w:p>
    <w:p>
      <w:pPr>
        <w:spacing w:before="0" w:after="8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/>
          <w:sz w:val="22"/>
        </w:rPr>
        <w:t>操作步骤：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打开系统登录页，点击「注册」；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按提示填写个人信息并设置密码；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注册成功后返回登录页，使用身份证号或邮箱登录。</w:t>
      </w:r>
    </w:p>
    <w:p>
      <w:pPr>
        <w:spacing w:before="160" w:after="80"/>
        <w:jc w:val="center"/>
        <w:rPr>
          <w:rFonts w:hint="eastAsia" w:ascii="微软雅黑" w:hAnsi="微软雅黑" w:eastAsia="微软雅黑" w:cs="微软雅黑"/>
        </w:rPr>
      </w:pPr>
      <w:r>
        <w:drawing>
          <wp:inline distT="0" distB="0" distL="0" distR="0">
            <wp:extent cx="5579745" cy="285940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before="0" w:after="24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color w:val="505050"/>
          <w:sz w:val="20"/>
        </w:rPr>
        <w:t xml:space="preserve">图 </w:t>
      </w:r>
      <w:r>
        <w:rPr>
          <w:rFonts w:hint="eastAsia" w:eastAsia="微软雅黑" w:cs="微软雅黑"/>
          <w:b w:val="0"/>
          <w:color w:val="505050"/>
          <w:sz w:val="20"/>
        </w:rPr>
        <w:t>1-</w:t>
      </w:r>
      <w:r>
        <w:rPr>
          <w:rFonts w:hint="eastAsia" w:cs="微软雅黑"/>
          <w:b w:val="0"/>
          <w:color w:val="505050"/>
          <w:sz w:val="20"/>
          <w:lang w:val="en-US" w:eastAsia="zh-CN"/>
        </w:rPr>
        <w:t>2</w:t>
      </w:r>
      <w:r>
        <w:rPr>
          <w:rFonts w:hint="eastAsia" w:eastAsia="微软雅黑" w:cs="微软雅黑"/>
          <w:b w:val="0"/>
          <w:color w:val="505050"/>
          <w:sz w:val="20"/>
        </w:rPr>
        <w:t xml:space="preserve">  </w:t>
      </w:r>
      <w:r>
        <w:rPr>
          <w:rFonts w:hint="eastAsia" w:cs="微软雅黑"/>
          <w:b w:val="0"/>
          <w:color w:val="505050"/>
          <w:sz w:val="20"/>
          <w:lang w:eastAsia="zh-CN"/>
        </w:rPr>
        <w:t>根据提示</w:t>
      </w:r>
      <w:r>
        <w:rPr>
          <w:rFonts w:hint="eastAsia" w:ascii="微软雅黑" w:hAnsi="微软雅黑" w:cs="微软雅黑"/>
          <w:b w:val="0"/>
          <w:color w:val="505050"/>
          <w:sz w:val="20"/>
        </w:rPr>
        <w:t>注册账号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1.3 主界面与导航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登录后默认进入「工作台」，左侧为功能菜单，顶部为系统标题与用户操作区。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菜单项旁的数字角标表示该模块下有待您处理的审核或任务。</w:t>
      </w:r>
    </w:p>
    <w:p>
      <w:pPr>
        <w:spacing w:before="160" w:after="80"/>
        <w:jc w:val="center"/>
        <w:rPr>
          <w:rFonts w:hint="eastAsia" w:ascii="微软雅黑" w:hAnsi="微软雅黑" w:eastAsia="微软雅黑" w:cs="微软雅黑"/>
        </w:rPr>
      </w:pPr>
      <w:r>
        <w:drawing>
          <wp:inline distT="0" distB="0" distL="0" distR="0">
            <wp:extent cx="5579745" cy="2844165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844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before="0" w:after="24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color w:val="505050"/>
          <w:sz w:val="20"/>
        </w:rPr>
        <w:t xml:space="preserve">图 </w:t>
      </w:r>
      <w:r>
        <w:rPr>
          <w:rFonts w:hint="eastAsia" w:eastAsia="微软雅黑" w:cs="微软雅黑"/>
          <w:b w:val="0"/>
          <w:color w:val="505050"/>
          <w:sz w:val="20"/>
        </w:rPr>
        <w:t>1-</w:t>
      </w:r>
      <w:r>
        <w:rPr>
          <w:rFonts w:hint="eastAsia" w:cs="微软雅黑"/>
          <w:b w:val="0"/>
          <w:color w:val="505050"/>
          <w:sz w:val="20"/>
          <w:lang w:val="en-US" w:eastAsia="zh-CN"/>
        </w:rPr>
        <w:t>3</w:t>
      </w:r>
      <w:r>
        <w:rPr>
          <w:rFonts w:hint="eastAsia" w:eastAsia="微软雅黑" w:cs="微软雅黑"/>
          <w:b w:val="0"/>
          <w:color w:val="505050"/>
          <w:sz w:val="20"/>
        </w:rPr>
        <w:t xml:space="preserve">  </w:t>
      </w:r>
      <w:r>
        <w:rPr>
          <w:rFonts w:hint="eastAsia" w:ascii="微软雅黑" w:hAnsi="微软雅黑" w:cs="微软雅黑"/>
          <w:b w:val="0"/>
          <w:color w:val="505050"/>
          <w:sz w:val="20"/>
        </w:rPr>
        <w:t>登录后主界面：左侧菜单、顶部栏与工作台内容区。</w:t>
      </w:r>
    </w:p>
    <w:p>
      <w:pPr>
        <w:pStyle w:val="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二、项目申请人填报与提交</w:t>
      </w:r>
    </w:p>
    <w:p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2.1 申请人工作台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以「项目申请人」角色登录后，工作台展示「我的课题」数量、已立项数、在研申请数等概览，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以及待填报、待修改等待办提醒。点击待办链接可直达对应课题的编辑或列表页。</w:t>
      </w:r>
    </w:p>
    <w:p>
      <w:pPr>
        <w:spacing w:before="160" w:after="80"/>
        <w:jc w:val="center"/>
        <w:rPr>
          <w:rFonts w:hint="eastAsia" w:ascii="微软雅黑" w:hAnsi="微软雅黑" w:eastAsia="微软雅黑" w:cs="微软雅黑"/>
        </w:rPr>
      </w:pPr>
      <w:r>
        <w:drawing>
          <wp:inline distT="0" distB="0" distL="0" distR="0">
            <wp:extent cx="5579745" cy="2859405"/>
            <wp:effectExtent l="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before="0" w:after="24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color w:val="505050"/>
          <w:sz w:val="20"/>
        </w:rPr>
        <w:t xml:space="preserve">图 </w:t>
      </w:r>
      <w:r>
        <w:rPr>
          <w:rFonts w:hint="eastAsia" w:eastAsia="微软雅黑" w:cs="微软雅黑"/>
          <w:b w:val="0"/>
          <w:color w:val="505050"/>
          <w:sz w:val="20"/>
        </w:rPr>
        <w:t xml:space="preserve">2-1  </w:t>
      </w:r>
      <w:r>
        <w:rPr>
          <w:rFonts w:hint="eastAsia" w:ascii="微软雅黑" w:hAnsi="微软雅黑" w:cs="微软雅黑"/>
          <w:b w:val="0"/>
          <w:color w:val="505050"/>
          <w:sz w:val="20"/>
        </w:rPr>
        <w:t>项目申请人工作台：</w:t>
      </w:r>
      <w:r>
        <w:rPr>
          <w:rFonts w:hint="eastAsia" w:eastAsia="微软雅黑" w:cs="微软雅黑"/>
          <w:b w:val="0"/>
          <w:color w:val="505050"/>
          <w:sz w:val="20"/>
        </w:rPr>
        <w:t xml:space="preserve">KPI </w:t>
      </w:r>
      <w:r>
        <w:rPr>
          <w:rFonts w:hint="eastAsia" w:ascii="微软雅黑" w:hAnsi="微软雅黑" w:cs="微软雅黑"/>
          <w:b w:val="0"/>
          <w:color w:val="505050"/>
          <w:sz w:val="20"/>
        </w:rPr>
        <w:t>卡片与待办提醒区域。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2.2 选择批次并发起申报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在「项目管理」中点击「</w:t>
      </w:r>
      <w:r>
        <w:rPr>
          <w:rFonts w:hint="eastAsia" w:cs="微软雅黑"/>
          <w:b w:val="0"/>
          <w:sz w:val="22"/>
          <w:lang w:eastAsia="zh-CN"/>
        </w:rPr>
        <w:t>新项目申报</w:t>
      </w:r>
      <w:r>
        <w:rPr>
          <w:rFonts w:hint="eastAsia" w:ascii="微软雅黑" w:hAnsi="微软雅黑" w:cs="微软雅黑"/>
          <w:b w:val="0"/>
          <w:sz w:val="22"/>
        </w:rPr>
        <w:t>」，从右侧弹出的批次列表中选择当年开放申报的批次，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点击「发起申报」进入在线填报页面。若批次未开放、已过截止期或不符合申报条件，系统将提示不可申报。</w:t>
      </w:r>
    </w:p>
    <w:p>
      <w:pPr>
        <w:spacing w:before="0" w:after="8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/>
          <w:sz w:val="22"/>
        </w:rPr>
        <w:t>操作步骤：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进入「项目管理」菜单；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点击「</w:t>
      </w:r>
      <w:r>
        <w:rPr>
          <w:rFonts w:hint="eastAsia" w:eastAsia="微软雅黑" w:cs="微软雅黑"/>
          <w:b w:val="0"/>
          <w:sz w:val="22"/>
        </w:rPr>
        <w:t xml:space="preserve">+ </w:t>
      </w:r>
      <w:r>
        <w:rPr>
          <w:rFonts w:hint="eastAsia" w:cs="微软雅黑"/>
          <w:b w:val="0"/>
          <w:sz w:val="22"/>
          <w:lang w:eastAsia="zh-CN"/>
        </w:rPr>
        <w:t>新项目申报</w:t>
      </w:r>
      <w:bookmarkStart w:id="0" w:name="_GoBack"/>
      <w:bookmarkEnd w:id="0"/>
      <w:r>
        <w:rPr>
          <w:rFonts w:hint="eastAsia" w:ascii="微软雅黑" w:hAnsi="微软雅黑" w:cs="微软雅黑"/>
          <w:b w:val="0"/>
          <w:sz w:val="22"/>
        </w:rPr>
        <w:t>」；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在「项目申报批次」侧栏中选择目标批次；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点击「</w:t>
      </w:r>
      <w:r>
        <w:rPr>
          <w:rFonts w:hint="eastAsia" w:eastAsia="微软雅黑" w:cs="微软雅黑"/>
          <w:b w:val="0"/>
          <w:sz w:val="22"/>
        </w:rPr>
        <w:t xml:space="preserve">+ </w:t>
      </w:r>
      <w:r>
        <w:rPr>
          <w:rFonts w:hint="eastAsia" w:ascii="微软雅黑" w:hAnsi="微软雅黑" w:cs="微软雅黑"/>
          <w:b w:val="0"/>
          <w:sz w:val="22"/>
        </w:rPr>
        <w:t>发起申报」进入申请书填报页。</w:t>
      </w:r>
    </w:p>
    <w:p>
      <w:pPr>
        <w:spacing w:before="160" w:after="80"/>
        <w:jc w:val="center"/>
        <w:rPr>
          <w:rFonts w:hint="eastAsia" w:ascii="微软雅黑" w:hAnsi="微软雅黑" w:eastAsia="微软雅黑" w:cs="微软雅黑"/>
        </w:rPr>
      </w:pPr>
      <w:r>
        <w:drawing>
          <wp:inline distT="0" distB="0" distL="0" distR="0">
            <wp:extent cx="5579745" cy="2859405"/>
            <wp:effectExtent l="0" t="0" r="0" b="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before="0" w:after="24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color w:val="505050"/>
          <w:sz w:val="20"/>
        </w:rPr>
        <w:t xml:space="preserve">图 </w:t>
      </w:r>
      <w:r>
        <w:rPr>
          <w:rFonts w:hint="eastAsia" w:eastAsia="微软雅黑" w:cs="微软雅黑"/>
          <w:b w:val="0"/>
          <w:color w:val="505050"/>
          <w:sz w:val="20"/>
        </w:rPr>
        <w:t xml:space="preserve">2-2  </w:t>
      </w:r>
      <w:r>
        <w:rPr>
          <w:rFonts w:hint="eastAsia" w:ascii="微软雅黑" w:hAnsi="微软雅黑" w:cs="微软雅黑"/>
          <w:b w:val="0"/>
          <w:color w:val="505050"/>
          <w:sz w:val="20"/>
        </w:rPr>
        <w:t>项目申报入口：选择开放批次后点击「发起申报」。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2.3 填写申请书并提交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在线填写申请书各字段，上传正文、活页等附件。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可先「保存草稿」随时继续编辑；确认无误后点击「提交」，提交后进入单位审核流程。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在批次截止前可「撤回」修改后重新提交；被退回后根据驳回原因修改再提交。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eastAsia="微软雅黑" w:cs="微软雅黑"/>
          <w:b w:val="0"/>
          <w:sz w:val="22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72810" cy="3060700"/>
            <wp:effectExtent l="0" t="0" r="0" b="0"/>
            <wp:wrapSquare wrapText="largest"/>
            <wp:docPr id="8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0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before="0" w:after="240"/>
        <w:jc w:val="center"/>
        <w:rPr>
          <w:rFonts w:hint="eastAsia" w:ascii="微软雅黑" w:hAnsi="微软雅黑" w:eastAsia="微软雅黑" w:cs="微软雅黑"/>
        </w:rPr>
      </w:pPr>
      <w:r>
        <w:rPr>
          <w:b w:val="0"/>
          <w:color w:val="505050"/>
          <w:sz w:val="20"/>
        </w:rPr>
        <w:t xml:space="preserve">图 2-3  </w:t>
      </w:r>
      <w:r>
        <w:rPr>
          <w:b w:val="0"/>
          <w:color w:val="505050"/>
          <w:sz w:val="20"/>
          <w:lang w:eastAsia="zh-CN"/>
        </w:rPr>
        <w:t>示例：添加或删除参与者</w:t>
      </w:r>
    </w:p>
    <w:p>
      <w:pPr>
        <w:spacing w:before="0" w:after="8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/>
          <w:sz w:val="22"/>
        </w:rPr>
        <w:t>操作步骤：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选择开放申报的批次；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在线填写申请书各字段</w:t>
      </w:r>
      <w:r>
        <w:rPr>
          <w:rFonts w:hint="eastAsia" w:cs="微软雅黑"/>
          <w:b w:val="0"/>
          <w:sz w:val="22"/>
          <w:lang w:eastAsia="zh-CN"/>
        </w:rPr>
        <w:t>，</w:t>
      </w:r>
      <w:r>
        <w:rPr>
          <w:rFonts w:hint="eastAsia" w:ascii="微软雅黑" w:hAnsi="微软雅黑" w:cs="微软雅黑"/>
          <w:b w:val="0"/>
          <w:sz w:val="22"/>
        </w:rPr>
        <w:t>上传正文、活页等要求的附件；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cs="微软雅黑"/>
          <w:lang w:eastAsia="zh-CN"/>
        </w:rPr>
        <w:t>导出</w:t>
      </w:r>
      <w:r>
        <w:rPr>
          <w:rFonts w:hint="eastAsia" w:ascii="微软雅黑" w:hAnsi="微软雅黑" w:eastAsia="微软雅黑" w:cs="微软雅黑"/>
        </w:rPr>
        <w:t>《申请书》签字并加盖单位公章后，全文扫描在一个文档中</w:t>
      </w:r>
      <w:r>
        <w:rPr>
          <w:rFonts w:hint="eastAsia" w:cs="微软雅黑"/>
          <w:lang w:eastAsia="zh-CN"/>
        </w:rPr>
        <w:t>再次上传；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保存草稿（可选）或确认无误后「提交」；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提交后等待本单位管理员审核。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2.4 查看申报进度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在「项目管理」列表中可查看各课题当前状态（草稿、待单位审核、待省教规办审核等）。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课题详情页的「阶段进度」可查看从申报到结项各节点所处位置。</w:t>
      </w:r>
    </w:p>
    <w:p>
      <w:pPr>
        <w:spacing w:before="160" w:after="80"/>
        <w:jc w:val="center"/>
        <w:rPr>
          <w:rFonts w:hint="eastAsia" w:ascii="微软雅黑" w:hAnsi="微软雅黑" w:eastAsia="微软雅黑" w:cs="微软雅黑"/>
        </w:rPr>
      </w:pPr>
      <w:r>
        <w:drawing>
          <wp:inline distT="0" distB="0" distL="0" distR="0">
            <wp:extent cx="5579745" cy="2859405"/>
            <wp:effectExtent l="0" t="0" r="0" b="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before="0" w:after="24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color w:val="505050"/>
          <w:sz w:val="20"/>
        </w:rPr>
        <w:t xml:space="preserve">图 </w:t>
      </w:r>
      <w:r>
        <w:rPr>
          <w:rFonts w:hint="eastAsia" w:eastAsia="微软雅黑" w:cs="微软雅黑"/>
          <w:b w:val="0"/>
          <w:color w:val="505050"/>
          <w:sz w:val="20"/>
        </w:rPr>
        <w:t>2-</w:t>
      </w:r>
      <w:r>
        <w:rPr>
          <w:rFonts w:hint="eastAsia" w:eastAsia="微软雅黑" w:cs="微软雅黑"/>
          <w:b w:val="0"/>
          <w:color w:val="505050"/>
          <w:sz w:val="20"/>
          <w:lang w:eastAsia="zh-CN"/>
        </w:rPr>
        <w:t>4</w:t>
      </w:r>
      <w:r>
        <w:rPr>
          <w:rFonts w:hint="eastAsia" w:eastAsia="微软雅黑" w:cs="微软雅黑"/>
          <w:b w:val="0"/>
          <w:color w:val="505050"/>
          <w:sz w:val="20"/>
        </w:rPr>
        <w:t xml:space="preserve">  </w:t>
      </w:r>
      <w:r>
        <w:rPr>
          <w:rFonts w:hint="eastAsia" w:ascii="微软雅黑" w:hAnsi="微软雅黑" w:cs="微软雅黑"/>
          <w:b w:val="0"/>
          <w:color w:val="505050"/>
          <w:sz w:val="20"/>
        </w:rPr>
        <w:t>课题阶段进度：展示从申报到结项各节点。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pStyle w:val="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三、单位管理员审核申请书</w:t>
      </w:r>
    </w:p>
    <w:p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3.1 从工作台发现待审课题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课题负责人提交申请书后，须先经本单位管理员（单位科管）审核，通过后方进入省级环节。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单位管理员登录工作台后，可在「阶段材料统计」中查看申请书「已提交」「待审核」等待办数量。</w:t>
      </w:r>
    </w:p>
    <w:p>
      <w:pPr>
        <w:spacing w:before="0" w:after="8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/>
          <w:sz w:val="22"/>
        </w:rPr>
        <w:t>操作步骤：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以「单位管理员」角色登录系统；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在工作台「阶段材料统计」中找到「申请书」一行；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 xml:space="preserve">点击「待审核」列中大于 </w:t>
      </w:r>
      <w:r>
        <w:rPr>
          <w:rFonts w:hint="eastAsia" w:eastAsia="微软雅黑" w:cs="微软雅黑"/>
          <w:b w:val="0"/>
          <w:sz w:val="22"/>
        </w:rPr>
        <w:t xml:space="preserve">0 </w:t>
      </w:r>
      <w:r>
        <w:rPr>
          <w:rFonts w:hint="eastAsia" w:ascii="微软雅黑" w:hAnsi="微软雅黑" w:cs="微软雅黑"/>
          <w:b w:val="0"/>
          <w:sz w:val="22"/>
        </w:rPr>
        <w:t>的数字，打开待审课题明细弹窗；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点击「项目名称」跳转至「申请书管理」列表继续审核。</w:t>
      </w:r>
    </w:p>
    <w:p>
      <w:pPr>
        <w:spacing w:before="160" w:after="80"/>
        <w:jc w:val="center"/>
        <w:rPr>
          <w:rFonts w:hint="eastAsia" w:ascii="微软雅黑" w:hAnsi="微软雅黑" w:eastAsia="微软雅黑" w:cs="微软雅黑"/>
        </w:rPr>
      </w:pPr>
      <w:r>
        <w:drawing>
          <wp:inline distT="0" distB="0" distL="0" distR="0">
            <wp:extent cx="5579745" cy="2859405"/>
            <wp:effectExtent l="0" t="0" r="0" b="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before="0" w:after="24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color w:val="505050"/>
          <w:sz w:val="20"/>
        </w:rPr>
        <w:t xml:space="preserve">图 </w:t>
      </w:r>
      <w:r>
        <w:rPr>
          <w:rFonts w:hint="eastAsia" w:eastAsia="微软雅黑" w:cs="微软雅黑"/>
          <w:b w:val="0"/>
          <w:color w:val="505050"/>
          <w:sz w:val="20"/>
        </w:rPr>
        <w:t xml:space="preserve">3-1  </w:t>
      </w:r>
      <w:r>
        <w:rPr>
          <w:rFonts w:hint="eastAsia" w:ascii="微软雅黑" w:hAnsi="微软雅黑" w:cs="微软雅黑"/>
          <w:b w:val="0"/>
          <w:color w:val="505050"/>
          <w:sz w:val="20"/>
        </w:rPr>
        <w:t>单位管理员工作台：点击阶段材料统计中的待审数字进入处理列表。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3.2 申请书单位审核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进入「项目管理 → 申请书管理」，筛选状态为「提交」（即待单位审核）的记录。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 xml:space="preserve">在列表中选中待审课题，中间区域预览申请书 </w:t>
      </w:r>
      <w:r>
        <w:rPr>
          <w:rFonts w:hint="eastAsia" w:eastAsia="微软雅黑" w:cs="微软雅黑"/>
          <w:b w:val="0"/>
          <w:sz w:val="22"/>
        </w:rPr>
        <w:t>PDF</w:t>
      </w:r>
      <w:r>
        <w:rPr>
          <w:rFonts w:hint="eastAsia" w:ascii="微软雅黑" w:hAnsi="微软雅黑" w:cs="微软雅黑"/>
          <w:b w:val="0"/>
          <w:sz w:val="22"/>
        </w:rPr>
        <w:t>，右侧核对项目信息与经费明细。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确认材料齐全合规后点击「审核通过」；有问题则点击「退回修改」并填写驳回原因。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若批次已开启「显示驳回原因」，申请人可见退回说明。支持按条件批量审核。</w:t>
      </w:r>
    </w:p>
    <w:p>
      <w:pPr>
        <w:spacing w:before="0" w:after="8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/>
          <w:sz w:val="22"/>
        </w:rPr>
        <w:t>操作步骤：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进入「项目管理 → 申请书管理」；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筛选状态为「提交」的记录；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 xml:space="preserve">选中待审课题，预览申请书 </w:t>
      </w:r>
      <w:r>
        <w:rPr>
          <w:rFonts w:hint="eastAsia" w:eastAsia="微软雅黑" w:cs="微软雅黑"/>
          <w:b w:val="0"/>
          <w:sz w:val="22"/>
        </w:rPr>
        <w:t>PDF</w:t>
      </w:r>
      <w:r>
        <w:rPr>
          <w:rFonts w:hint="eastAsia" w:ascii="微软雅黑" w:hAnsi="微软雅黑" w:cs="微软雅黑"/>
          <w:b w:val="0"/>
          <w:sz w:val="22"/>
        </w:rPr>
        <w:t>，核对申请人、课题名称、成员与附件；</w:t>
      </w:r>
    </w:p>
    <w:p>
      <w:pPr>
        <w:pStyle w:val="14"/>
        <w:numPr>
          <w:ilvl w:val="0"/>
          <w:numId w:val="2"/>
        </w:numPr>
        <w:spacing w:before="0" w:after="80" w:line="324" w:lineRule="auto"/>
        <w:contextualSpacing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确认无误点击「审核通过」，或点击「退回修改」并填写驳回原因。</w:t>
      </w:r>
    </w:p>
    <w:p>
      <w:pPr>
        <w:spacing w:before="160" w:after="80"/>
        <w:jc w:val="center"/>
        <w:rPr>
          <w:rFonts w:hint="eastAsia" w:ascii="微软雅黑" w:hAnsi="微软雅黑" w:eastAsia="微软雅黑" w:cs="微软雅黑"/>
        </w:rPr>
      </w:pPr>
      <w:r>
        <w:drawing>
          <wp:inline distT="0" distB="0" distL="0" distR="0">
            <wp:extent cx="5579745" cy="2859405"/>
            <wp:effectExtent l="0" t="0" r="0" b="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before="0" w:after="24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color w:val="505050"/>
          <w:sz w:val="20"/>
        </w:rPr>
        <w:t xml:space="preserve">图 </w:t>
      </w:r>
      <w:r>
        <w:rPr>
          <w:rFonts w:hint="eastAsia" w:eastAsia="微软雅黑" w:cs="微软雅黑"/>
          <w:b w:val="0"/>
          <w:color w:val="505050"/>
          <w:sz w:val="20"/>
        </w:rPr>
        <w:t xml:space="preserve">3-2  </w:t>
      </w:r>
      <w:r>
        <w:rPr>
          <w:rFonts w:hint="eastAsia" w:ascii="微软雅黑" w:hAnsi="微软雅黑" w:cs="微软雅黑"/>
          <w:b w:val="0"/>
          <w:color w:val="505050"/>
          <w:sz w:val="20"/>
        </w:rPr>
        <w:t xml:space="preserve">申请书单位审核：筛选待审记录，预览 </w:t>
      </w:r>
      <w:r>
        <w:rPr>
          <w:rFonts w:hint="eastAsia" w:eastAsia="微软雅黑" w:cs="微软雅黑"/>
          <w:b w:val="0"/>
          <w:color w:val="505050"/>
          <w:sz w:val="20"/>
        </w:rPr>
        <w:t xml:space="preserve">PDF </w:t>
      </w:r>
      <w:r>
        <w:rPr>
          <w:rFonts w:hint="eastAsia" w:ascii="微软雅黑" w:hAnsi="微软雅黑" w:cs="微软雅黑"/>
          <w:b w:val="0"/>
          <w:color w:val="505050"/>
          <w:sz w:val="20"/>
        </w:rPr>
        <w:t>后通过或退回。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3.3 审核通过后的流转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单位审核通过后，申请书状态变为「管理单位已审核」，流转至省教规办（教育厅管理角色）继续复核。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单位管理员此环节无需再操作；若被省级退回，需督促申请人根据退回原因及时修改并重新提交。</w:t>
      </w:r>
    </w:p>
    <w:p>
      <w:pPr>
        <w:spacing w:before="0" w:after="120" w:line="324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  <w:b w:val="0"/>
          <w:sz w:val="22"/>
        </w:rPr>
        <w:t>省级审核通过后将进入评审安排与立项确认等环节（以当年政策为准）。</w:t>
      </w:r>
    </w:p>
    <w:p>
      <w:pPr>
        <w:spacing w:before="160" w:after="80"/>
        <w:jc w:val="center"/>
        <w:rPr>
          <w:rFonts w:hint="eastAsia" w:ascii="微软雅黑" w:hAnsi="微软雅黑" w:eastAsia="微软雅黑" w:cs="微软雅黑"/>
        </w:rPr>
      </w:pPr>
    </w:p>
    <w:p>
      <w:pPr>
        <w:spacing w:before="0" w:after="240"/>
        <w:jc w:val="both"/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spacing w:before="0" w:after="200"/>
        <w:rPr>
          <w:rFonts w:hint="eastAsia" w:ascii="微软雅黑" w:hAnsi="微软雅黑" w:eastAsia="微软雅黑" w:cs="微软雅黑"/>
        </w:rPr>
      </w:pPr>
    </w:p>
    <w:sectPr>
      <w:pgSz w:w="12240" w:h="15840"/>
      <w:pgMar w:top="1247" w:right="1417" w:bottom="1247" w:left="1417" w:header="0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803050406030204"/>
    <w:charset w:val="86"/>
    <w:family w:val="roman"/>
    <w:pitch w:val="default"/>
    <w:sig w:usb0="E00002FF" w:usb1="4000045F" w:usb2="00000000" w:usb3="00000000" w:csb0="2000019F" w:csb1="00000000"/>
  </w:font>
  <w:font w:name="Cambria">
    <w:panose1 w:val="02040803050406030204"/>
    <w:charset w:val="00"/>
    <w:family w:val="auto"/>
    <w:pitch w:val="default"/>
    <w:sig w:usb0="E00002FF" w:usb1="4000045F" w:usb2="00000000" w:usb3="00000000" w:csb0="2000019F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Courier">
    <w:altName w:val="Courier New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Liberation Sans">
    <w:panose1 w:val="020B0604020202020204"/>
    <w:charset w:val="86"/>
    <w:family w:val="swiss"/>
    <w:pitch w:val="default"/>
    <w:sig w:usb0="A00002AF" w:usb1="500078FB" w:usb2="00000000" w:usb3="00000000" w:csb0="6000009F" w:csb1="DFD70000"/>
  </w:font>
  <w:font w:name="Noto Sans SC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F7148B"/>
    <w:multiLevelType w:val="multilevel"/>
    <w:tmpl w:val="C2F7148B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D596FA19"/>
    <w:multiLevelType w:val="multilevel"/>
    <w:tmpl w:val="D596FA19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DEDE2F6C"/>
    <w:multiLevelType w:val="multilevel"/>
    <w:tmpl w:val="DEDE2F6C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DFFFE045"/>
    <w:multiLevelType w:val="multilevel"/>
    <w:tmpl w:val="DFFFE045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F7FEC524"/>
    <w:multiLevelType w:val="multilevel"/>
    <w:tmpl w:val="F7FEC524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FFF609BB"/>
    <w:multiLevelType w:val="multilevel"/>
    <w:tmpl w:val="FFF609BB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autoHyphenation/>
  <w:hyphenationZone w:val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DDB28"/>
    <w:rsid w:val="0F556D48"/>
    <w:rsid w:val="2FEF8371"/>
    <w:rsid w:val="3CF78922"/>
    <w:rsid w:val="3FFBB719"/>
    <w:rsid w:val="6AF2D259"/>
    <w:rsid w:val="6BCFA67E"/>
    <w:rsid w:val="6CF68E29"/>
    <w:rsid w:val="6DFF1D50"/>
    <w:rsid w:val="6EB85F8B"/>
    <w:rsid w:val="76FEFD65"/>
    <w:rsid w:val="77BB6DC9"/>
    <w:rsid w:val="77F555D5"/>
    <w:rsid w:val="787B5964"/>
    <w:rsid w:val="7EEF25AA"/>
    <w:rsid w:val="7F374FA9"/>
    <w:rsid w:val="7F7F8AA2"/>
    <w:rsid w:val="7FE4D976"/>
    <w:rsid w:val="7FFFC6CD"/>
    <w:rsid w:val="8FFFAD57"/>
    <w:rsid w:val="94E5A2DD"/>
    <w:rsid w:val="BF2E0839"/>
    <w:rsid w:val="BFFE4871"/>
    <w:rsid w:val="C3D74FDD"/>
    <w:rsid w:val="CDFFD557"/>
    <w:rsid w:val="D5FFA26B"/>
    <w:rsid w:val="DDD39BBE"/>
    <w:rsid w:val="DF1BF29B"/>
    <w:rsid w:val="DFBD96F2"/>
    <w:rsid w:val="DFFFF5D3"/>
    <w:rsid w:val="EDFFDDDF"/>
    <w:rsid w:val="EEF93D8E"/>
    <w:rsid w:val="FD6F8AF1"/>
    <w:rsid w:val="FD8E6432"/>
    <w:rsid w:val="FFFFC8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ascii="微软雅黑" w:hAnsi="微软雅黑" w:eastAsia="微软雅黑" w:cstheme="minorBidi"/>
      <w:color w:val="auto"/>
      <w:kern w:val="0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13213D"/>
      <w:sz w:val="36"/>
      <w:szCs w:val="28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13213D"/>
      <w:sz w:val="28"/>
      <w:szCs w:val="26"/>
    </w:rPr>
  </w:style>
  <w:style w:type="paragraph" w:styleId="5">
    <w:name w:val="heading 3"/>
    <w:basedOn w:val="1"/>
    <w:next w:val="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13213D"/>
      <w:sz w:val="24"/>
    </w:rPr>
  </w:style>
  <w:style w:type="paragraph" w:styleId="6">
    <w:name w:val="heading 4"/>
    <w:basedOn w:val="1"/>
    <w:next w:val="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dark1" w:themeTint="BF"/>
      <w14:textFill>
        <w14:solidFill>
          <w14:schemeClr w14:val="dk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dark1" w:themeTint="BF"/>
      <w:sz w:val="20"/>
      <w:szCs w:val="20"/>
      <w14:textFill>
        <w14:solidFill>
          <w14:schemeClr w14:val="dk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widowControl/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bidi w:val="0"/>
      <w:spacing w:before="0" w:after="200" w:line="276" w:lineRule="auto"/>
      <w:jc w:val="left"/>
    </w:pPr>
    <w:rPr>
      <w:rFonts w:ascii="Courier" w:hAnsi="Courier" w:eastAsiaTheme="minorEastAsia" w:cstheme="minorBidi"/>
      <w:color w:val="auto"/>
      <w:kern w:val="0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spacing w:before="0" w:after="200"/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spacing w:before="0" w:after="200"/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spacing w:before="0" w:after="200"/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spacing w:before="0" w:after="200"/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before="0"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spacing w:before="0" w:after="200"/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before="0"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spacing w:before="0" w:after="200"/>
      <w:contextualSpacing/>
    </w:pPr>
  </w:style>
  <w:style w:type="paragraph" w:styleId="21">
    <w:name w:val="List 2"/>
    <w:basedOn w:val="1"/>
    <w:unhideWhenUsed/>
    <w:qFormat/>
    <w:uiPriority w:val="99"/>
    <w:pPr>
      <w:spacing w:before="0" w:after="200"/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before="0"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spacing w:before="0" w:after="200"/>
      <w:contextualSpacing/>
    </w:pPr>
  </w:style>
  <w:style w:type="paragraph" w:styleId="24">
    <w:name w:val="foot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before="0" w:after="0" w:line="240" w:lineRule="auto"/>
    </w:pPr>
  </w:style>
  <w:style w:type="paragraph" w:styleId="25">
    <w:name w:val="head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before="0" w:after="0" w:line="240" w:lineRule="auto"/>
    </w:pPr>
  </w:style>
  <w:style w:type="paragraph" w:styleId="26">
    <w:name w:val="index heading"/>
    <w:basedOn w:val="27"/>
    <w:qFormat/>
    <w:uiPriority w:val="0"/>
  </w:style>
  <w:style w:type="paragraph" w:customStyle="1" w:styleId="27">
    <w:name w:val="标题样式"/>
    <w:basedOn w:val="1"/>
    <w:next w:val="19"/>
    <w:qFormat/>
    <w:uiPriority w:val="0"/>
    <w:pPr>
      <w:keepNext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28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9">
    <w:name w:val="List"/>
    <w:basedOn w:val="1"/>
    <w:unhideWhenUsed/>
    <w:qFormat/>
    <w:uiPriority w:val="99"/>
    <w:pPr>
      <w:spacing w:before="0" w:after="200"/>
      <w:ind w:left="360" w:hanging="360"/>
      <w:contextualSpacing/>
    </w:pPr>
  </w:style>
  <w:style w:type="paragraph" w:styleId="30">
    <w:name w:val="Body Text 2"/>
    <w:basedOn w:val="1"/>
    <w:link w:val="145"/>
    <w:unhideWhenUsed/>
    <w:qFormat/>
    <w:uiPriority w:val="99"/>
    <w:pPr>
      <w:spacing w:before="0" w:after="120" w:line="480" w:lineRule="auto"/>
    </w:pPr>
  </w:style>
  <w:style w:type="paragraph" w:styleId="31">
    <w:name w:val="List Continue 2"/>
    <w:basedOn w:val="1"/>
    <w:unhideWhenUsed/>
    <w:qFormat/>
    <w:uiPriority w:val="99"/>
    <w:pPr>
      <w:spacing w:before="0" w:after="120"/>
      <w:ind w:left="720"/>
      <w:contextualSpacing/>
    </w:pPr>
  </w:style>
  <w:style w:type="paragraph" w:styleId="32">
    <w:name w:val="List Continue 3"/>
    <w:basedOn w:val="1"/>
    <w:unhideWhenUsed/>
    <w:qFormat/>
    <w:uiPriority w:val="99"/>
    <w:pPr>
      <w:spacing w:before="0" w:after="120"/>
      <w:ind w:left="1080"/>
      <w:contextualSpacing/>
    </w:pPr>
  </w:style>
  <w:style w:type="paragraph" w:styleId="33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before="0"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"/>
      <w:sz w:val="52"/>
      <w:szCs w:val="52"/>
    </w:rPr>
  </w:style>
  <w:style w:type="table" w:styleId="35">
    <w:name w:val="Table Grid"/>
    <w:basedOn w:val="3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Light Shading"/>
    <w:basedOn w:val="34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000000" w:themeColor="text1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F81BD" w:themeColor="accent1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0504D" w:themeColor="accent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BBB59" w:themeColor="accent3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064A2" w:themeColor="accent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BACC6" w:themeColor="accent5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79646" w:themeColor="accent6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customStyle="1" w:styleId="137">
    <w:name w:val="Header Char"/>
    <w:basedOn w:val="134"/>
    <w:link w:val="25"/>
    <w:qFormat/>
    <w:uiPriority w:val="99"/>
  </w:style>
  <w:style w:type="character" w:customStyle="1" w:styleId="138">
    <w:name w:val="Footer Char"/>
    <w:basedOn w:val="134"/>
    <w:link w:val="24"/>
    <w:qFormat/>
    <w:uiPriority w:val="99"/>
  </w:style>
  <w:style w:type="character" w:customStyle="1" w:styleId="139">
    <w:name w:val="Heading 1 Char"/>
    <w:basedOn w:val="134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4"/>
    <w:link w:val="3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"/>
      <w:sz w:val="52"/>
      <w:szCs w:val="52"/>
    </w:rPr>
  </w:style>
  <w:style w:type="character" w:customStyle="1" w:styleId="143">
    <w:name w:val="Subtitle Char"/>
    <w:basedOn w:val="134"/>
    <w:link w:val="28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44">
    <w:name w:val="Body Text Char"/>
    <w:basedOn w:val="134"/>
    <w:link w:val="19"/>
    <w:qFormat/>
    <w:uiPriority w:val="99"/>
  </w:style>
  <w:style w:type="character" w:customStyle="1" w:styleId="145">
    <w:name w:val="Body Text 2 Char"/>
    <w:basedOn w:val="134"/>
    <w:link w:val="30"/>
    <w:qFormat/>
    <w:uiPriority w:val="99"/>
  </w:style>
  <w:style w:type="character" w:customStyle="1" w:styleId="146">
    <w:name w:val="Body Text 3 Char"/>
    <w:basedOn w:val="134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4"/>
    <w:link w:val="2"/>
    <w:qFormat/>
    <w:uiPriority w:val="99"/>
    <w:rPr>
      <w:rFonts w:ascii="Courier" w:hAnsi="Courier"/>
      <w:sz w:val="20"/>
      <w:szCs w:val="20"/>
    </w:rPr>
  </w:style>
  <w:style w:type="character" w:customStyle="1" w:styleId="148">
    <w:name w:val="Quote Char"/>
    <w:basedOn w:val="134"/>
    <w:link w:val="149"/>
    <w:qFormat/>
    <w:uiPriority w:val="29"/>
    <w:rPr>
      <w:i/>
      <w:iCs/>
      <w:color w:val="000000" w:themeColor="dark1"/>
      <w14:textFill>
        <w14:solidFill>
          <w14:schemeClr w14:val="dk1"/>
        </w14:solidFill>
      </w14:textFill>
    </w:rPr>
  </w:style>
  <w:style w:type="paragraph" w:styleId="149">
    <w:name w:val="Quote"/>
    <w:basedOn w:val="1"/>
    <w:next w:val="1"/>
    <w:link w:val="148"/>
    <w:qFormat/>
    <w:uiPriority w:val="29"/>
    <w:rPr>
      <w:i/>
      <w:iCs/>
      <w:color w:val="000000" w:themeColor="dark1"/>
      <w14:textFill>
        <w14:solidFill>
          <w14:schemeClr w14:val="dk1"/>
        </w14:solidFill>
      </w14:textFill>
    </w:rPr>
  </w:style>
  <w:style w:type="character" w:customStyle="1" w:styleId="150">
    <w:name w:val="Heading 4 Char"/>
    <w:basedOn w:val="134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4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4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4"/>
    <w:semiHidden/>
    <w:qFormat/>
    <w:uiPriority w:val="9"/>
    <w:rPr>
      <w:rFonts w:asciiTheme="majorHAnsi" w:hAnsiTheme="majorHAnsi" w:eastAsiaTheme="majorEastAsia" w:cstheme="majorBidi"/>
      <w:i/>
      <w:iCs/>
      <w:color w:val="404040" w:themeColor="dark1" w:themeTint="BF"/>
      <w14:textFill>
        <w14:solidFill>
          <w14:schemeClr w14:val="dk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4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4"/>
    <w:semiHidden/>
    <w:qFormat/>
    <w:uiPriority w:val="9"/>
    <w:rPr>
      <w:rFonts w:asciiTheme="majorHAnsi" w:hAnsiTheme="majorHAnsi" w:eastAsiaTheme="majorEastAsia" w:cstheme="majorBidi"/>
      <w:i/>
      <w:iCs/>
      <w:color w:val="404040" w:themeColor="dark1" w:themeTint="BF"/>
      <w:sz w:val="20"/>
      <w:szCs w:val="20"/>
      <w14:textFill>
        <w14:solidFill>
          <w14:schemeClr w14:val="dk1">
            <w14:lumMod w14:val="75000"/>
            <w14:lumOff w14:val="25000"/>
          </w14:schemeClr>
        </w14:solidFill>
      </w14:textFill>
    </w:rPr>
  </w:style>
  <w:style w:type="character" w:customStyle="1" w:styleId="156">
    <w:name w:val="Intense Quote Char"/>
    <w:basedOn w:val="134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157">
    <w:name w:val="Intense Quote"/>
    <w:basedOn w:val="1"/>
    <w:next w:val="1"/>
    <w:link w:val="156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4"/>
    <w:qFormat/>
    <w:uiPriority w:val="19"/>
    <w:rPr>
      <w:i/>
      <w:iCs/>
      <w:color w:val="808080" w:themeColor="dark1" w:themeTint="80"/>
      <w14:textFill>
        <w14:solidFill>
          <w14:schemeClr w14:val="dk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4"/>
    <w:qFormat/>
    <w:uiPriority w:val="33"/>
    <w:rPr>
      <w:b/>
      <w:bCs/>
      <w:smallCaps/>
      <w:spacing w:val="5"/>
    </w:rPr>
  </w:style>
  <w:style w:type="paragraph" w:customStyle="1" w:styleId="163">
    <w:name w:val="索引"/>
    <w:basedOn w:val="1"/>
    <w:qFormat/>
    <w:uiPriority w:val="0"/>
    <w:pPr>
      <w:suppressLineNumbers/>
    </w:pPr>
    <w:rPr>
      <w:rFonts w:cs="Lucida Sans"/>
    </w:rPr>
  </w:style>
  <w:style w:type="paragraph" w:customStyle="1" w:styleId="164">
    <w:name w:val="页眉与页脚"/>
    <w:basedOn w:val="1"/>
    <w:qFormat/>
    <w:uiPriority w:val="0"/>
  </w:style>
  <w:style w:type="paragraph" w:styleId="165">
    <w:name w:val="No Spacing"/>
    <w:qFormat/>
    <w:uiPriority w:val="1"/>
    <w:pPr>
      <w:widowControl/>
      <w:suppressAutoHyphens/>
      <w:bidi w:val="0"/>
      <w:spacing w:before="0" w:after="0" w:line="240" w:lineRule="auto"/>
      <w:jc w:val="left"/>
    </w:pPr>
    <w:rPr>
      <w:rFonts w:asciiTheme="minorHAnsi" w:hAnsiTheme="minorHAnsi" w:eastAsiaTheme="minorEastAsia" w:cstheme="minorBidi"/>
      <w:color w:val="auto"/>
      <w:kern w:val="0"/>
      <w:sz w:val="22"/>
      <w:szCs w:val="22"/>
      <w:lang w:val="en-US" w:eastAsia="en-US" w:bidi="ar-SA"/>
    </w:rPr>
  </w:style>
  <w:style w:type="paragraph" w:styleId="166">
    <w:name w:val="List Paragraph"/>
    <w:basedOn w:val="1"/>
    <w:qFormat/>
    <w:uiPriority w:val="34"/>
    <w:pPr>
      <w:spacing w:before="0" w:after="200"/>
      <w:ind w:left="720"/>
      <w:contextualSpacing/>
    </w:pPr>
  </w:style>
  <w:style w:type="paragraph" w:customStyle="1" w:styleId="167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1890</Words>
  <Characters>1986</Characters>
  <Paragraphs>89</Paragraphs>
  <TotalTime>0</TotalTime>
  <ScaleCrop>false</ScaleCrop>
  <LinksUpToDate>false</LinksUpToDate>
  <CharactersWithSpaces>2036</CharactersWithSpaces>
  <Application>WPS Office_11.8.2.11929_F1E327BC-269C-435d-A152-05C5408002CA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2013-12-25T15:15:00Z</dcterms:created>
  <dc:creator>python-docx</dc:creator>
  <dc:description>generated by python-docx</dc:description>
  <cp:lastModifiedBy>段佳彤</cp:lastModifiedBy>
  <dcterms:modified xsi:type="dcterms:W3CDTF">2026-07-21T16:39:25Z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481CA14643134964478E5D6A37308514</vt:lpwstr>
  </property>
  <property fmtid="{D5CDD505-2E9C-101B-9397-08002B2CF9AE}" pid="3" name="KSOProductBuildVer">
    <vt:lpwstr>2052-11.8.2.11929</vt:lpwstr>
  </property>
  <property fmtid="{D5CDD505-2E9C-101B-9397-08002B2CF9AE}" pid="4" name="KSOTemplateDocerSaveRecord">
    <vt:lpwstr>eyJoZGlkIjoiNTEwNjIyZjhjMTc3MGRhMDcxMmNlNTBjN2UyYjkyZDUiLCJ1c2VySWQiOiIxMDMyNTEwOTQ4In0=</vt:lpwstr>
  </property>
</Properties>
</file>