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tLeast"/>
        <w:ind w:right="0"/>
        <w:jc w:val="center"/>
        <w:textAlignment w:val="auto"/>
        <w:rPr>
          <w:rFonts w:hint="eastAsia" w:ascii="宋体" w:hAnsi="宋体" w:eastAsia="宋体" w:cs="宋体"/>
          <w:sz w:val="28"/>
          <w:szCs w:val="28"/>
        </w:rPr>
      </w:pPr>
      <w:bookmarkStart w:id="0" w:name="_GoBack"/>
      <w:r>
        <w:rPr>
          <w:rFonts w:hint="eastAsia" w:ascii="宋体" w:hAnsi="宋体" w:eastAsia="宋体" w:cs="宋体"/>
          <w:b/>
          <w:i w:val="0"/>
          <w:caps w:val="0"/>
          <w:color w:val="333333"/>
          <w:spacing w:val="0"/>
          <w:kern w:val="0"/>
          <w:sz w:val="28"/>
          <w:szCs w:val="28"/>
          <w:lang w:val="en-US" w:eastAsia="zh-CN" w:bidi="ar"/>
        </w:rPr>
        <w:t>中华人民共和国保守国家秘密法</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tLeast"/>
        <w:ind w:right="0"/>
        <w:jc w:val="center"/>
        <w:textAlignment w:val="auto"/>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2010年4月29日第十一届全国人民代表大会常务委员会第十四次会议修订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000000"/>
          <w:spacing w:val="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000000"/>
          <w:spacing w:val="0"/>
          <w:sz w:val="28"/>
          <w:szCs w:val="28"/>
        </w:rPr>
      </w:pPr>
      <w:r>
        <w:rPr>
          <w:rFonts w:hint="eastAsia" w:ascii="宋体" w:hAnsi="宋体" w:eastAsia="宋体" w:cs="宋体"/>
          <w:b/>
          <w:i w:val="0"/>
          <w:caps w:val="0"/>
          <w:color w:val="000000"/>
          <w:spacing w:val="0"/>
          <w:kern w:val="0"/>
          <w:sz w:val="28"/>
          <w:szCs w:val="28"/>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为了保守国家秘密，维护国家安全和利益，保障改革开放和社会主义建设事业的顺利进行，制定本法。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国家秘密是关系国家安全和利益，依照法定程序确定，在一定时间内只限一定范围的人员知悉的事项。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国家秘密受法律保护。 一切国家机关、武装力量、政党、社会团体、企业事业单位和公民都有保守国家秘密的义务。 任何危害国家秘密安全的行为，都必须受到法律追究。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保守国家秘密的工作（以下简称保密工作），实行积极防范、突出重点、依法管理的方针，既确保国家秘密安全，又便利信息资源合理利用。 法律、行政法规规定公开的事项，应当依法公开。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国家保密行政管理部门主管全国的保密工作。县级以上地方各级保密行政管理部门主管本行政区域的保密工作。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国家机关和涉及国家秘密的单位（以下简称机关、单位）管理本机关和本单位的保密工作。 中央国家机关在其职权范围内，管理或者指导本系统的保密工作。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机关、单位应当实行保密工作责任制，健全保密管理制度，完善保密防护措施，开展保密宣传教育，加强保密检查。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国家对在保守、保护国家秘密以及改进保密技术、措施等方面成绩显著的单位或者个人给予奖励。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000000"/>
          <w:spacing w:val="0"/>
          <w:sz w:val="28"/>
          <w:szCs w:val="28"/>
        </w:rPr>
      </w:pPr>
      <w:r>
        <w:rPr>
          <w:rFonts w:hint="eastAsia" w:ascii="宋体" w:hAnsi="宋体" w:eastAsia="宋体" w:cs="宋体"/>
          <w:b/>
          <w:i w:val="0"/>
          <w:caps w:val="0"/>
          <w:color w:val="000000"/>
          <w:spacing w:val="0"/>
          <w:kern w:val="0"/>
          <w:sz w:val="28"/>
          <w:szCs w:val="28"/>
          <w:lang w:val="en-US" w:eastAsia="zh-CN" w:bidi="ar"/>
        </w:rPr>
        <w:t>第二章　国家秘密的范围和密级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下列涉及国家安全和利益的事项，泄露后可能损害国家在政治、经济、国防、外交等领域的安全和利益的，应当确定为国家秘密： （一）国家事务重大决策中的秘密事项； （二）国防建设和武装力量活动中的秘密事项； （三）外交和外事活动中的秘密事项以及对外承担保密义务的秘密事项； （四）国民经济和社会发展中的秘密事项； （五）科学技术中的秘密事项； （六）维护国家安全活动和追查刑事犯罪中的秘密事项； （七）经国家保密行政管理部门确定的其他秘密事项。 政党的秘密事项中符合前款规定的，属于国家秘密。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国家秘密的密级分为绝密、机密、秘密三级。 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国家秘密及其密级的具体范围，由国家保密行政管理部门分别会同外交、公安、国家安全和其他中央有关机关规定。 军事方面的国家秘密及其密级的具体范围，由中央军事委员会规定。 国家秘密及其密级的具体范围的规定，应当在有关范围内公布，并根据情况变化及时调整。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机关、单位负责人及其指定的人员为定密责任人，负责本机关、本单位的国家秘密确定、变更和解除工作。 机关、单位确定、变更和解除本机关、本单位的国家秘密，应当由承办人提出具体意见，经定密责任人审核批准。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确定国家秘密的密级，应当遵守定密权限。 中央国家机关、省级机关及其授权的机关、单位可以确定绝密级、机密级和秘密级国家秘密；设区的市、自治州一级的机关及其授权的机关、单位可以确定机密级和秘密级国家秘密。具体的定密权限、授权范围由国家保密行政管理部门规定。 机关、单位执行上级确定的国家秘密事项，需要定密的，根据所执行的国家秘密事项的密级确定。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 公安、国家安全机关在其工作范围内按照规定的权限确定国家秘密的密级。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机关、单位对所产生的国家秘密事项，应当按照国家秘密及其密级的具体范围的规定确定密级，同时确定保密期限和知悉范围。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国家秘密的保密期限，应当根据事项的性质和特点，按照维护国家安全和利益的需要，限定在必要的期限内；不能确定期限的，应当确定解密的条件。 国家秘密的保密期限，除另有规定外，绝密级不超过三十年，机密级不超过二十年，秘密级不超过十年。 机关、单位应当根据工作需要，确定具体的保密期限、解密时间或者解密条件。 机关、单位对在决定和处理有关事项工作过程中确定需要保密的事项，根据工作需要决定公开的，正式公布时即视为解密。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国家秘密的知悉范围，应当根据工作需要限定在最小范围。 国家秘密的知悉范围能够限定到具体人员的，限定到具体人员；不能限定到具体人员的，限定到机关、单位，由机关、单位限定到具体人员。 国家秘密的知悉范围以外的人员，因工作需要知悉国家秘密的，应当经过机关、单位负责人批准。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机关、单位对承载国家秘密的纸介质、光介质、电磁介质等载体（以下简称国家秘密载体）以及属于国家秘密的设备、产品，应当做出国家秘密标志。 不属于国家秘密的，不应当做出国家秘密标志。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国家秘密的密级、保密期限和知悉范围，应当根据情况变化及时变更。国家秘密的密级、保密期限和知悉范围的变更，由原定密机关、单位决定，也可以由其上级机关决定。 国家秘密的密级、保密期限和知悉范围变更的，应当及时书面通知知悉范围内的机关、单位或者人员。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国家秘密的保密期限已满的，自行解密。 机关、单位应当定期审核所确定的国家秘密。对在保密期限内因保密事项范围调整不再作为国家秘密事项，或者公开后不会损害国家安全和利益，不需要继续保密的，应当及时解密；对需要延长保密期限的，应当在原保密期限届满前重新确定保密期限。提前解密或者延长保密期限的，由原定密机关、单位决定，也可以由其上级机关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第二十条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机关、单位对是否属于国家秘密或者属于何种密级不明确或者有争议的，由国家保密行政管理部门或者省、自治区、直辖市保密行政管理部门确定。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000000"/>
          <w:spacing w:val="0"/>
          <w:sz w:val="28"/>
          <w:szCs w:val="28"/>
        </w:rPr>
      </w:pPr>
      <w:r>
        <w:rPr>
          <w:rFonts w:hint="eastAsia" w:ascii="宋体" w:hAnsi="宋体" w:eastAsia="宋体" w:cs="宋体"/>
          <w:b/>
          <w:i w:val="0"/>
          <w:caps w:val="0"/>
          <w:color w:val="000000"/>
          <w:spacing w:val="0"/>
          <w:kern w:val="0"/>
          <w:sz w:val="28"/>
          <w:szCs w:val="28"/>
          <w:lang w:val="en-US" w:eastAsia="zh-CN" w:bidi="ar"/>
        </w:rPr>
        <w:t>第三章　保密制度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第二十一条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国家秘密载体的制作、收发、传递、使用、复制、保存、维修和销毁，应当符合国家保密规定。 绝密级国家秘密载体应当在符合国家保密标准的设施、设备中保存，并指定专人管理；未经原定密机关、单位或者其上级机关批准，不得复制和摘抄；收发、传递和外出携带，应当指定人员负责，并采取必要的安全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第二十二条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属于国家秘密的设备、产品的研制、生产、运输、使用、保存、维修和销毁，应当符合国家保密规定。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第二十三条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存储、处理国家秘密的计算机信息系统（以下简称涉密信息系统）按照涉密程度实行分级保护。 涉密信息系统应当按照国家保密标准配备保密设施、设备。保密设施、设备应当与涉密信息系统同步规划，同步建设，同步运行。 涉密信息系统应当按照规定，经检查合格后，方可投入使用。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第二十四条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机关、单位应当加强对涉密信息系统的管理，任何组织和个人不得有下列行为： （一）将涉密计算机、涉密存储设备接入互联网及其他公共信息网络； （二）在未采取防护措施的情况下，在涉密信息系统与互联网及其他公共信息网络之间进行信息交换； （三）使用非涉密计算机、非涉密存储设备存储、处理国家秘密信息； （四）擅自卸载、修改涉密信息系统的安全技术程序、管理程序； （五）将未经安全技术处理的退出使用的涉密计算机、涉密存储设备赠送、出售、丢弃或者改作其他用途。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第二十五条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机关、单位应当加强对国家秘密载体的管理，任何组织和个人不得有下列行为： （一）非法获取、持有国家秘密载体； （二）买卖、转送或者私自销毁国家秘密载体； （三）通过普通邮政、快递等无保密措施的渠道传递国家秘密载体； （四）邮寄、托运国家秘密载体出境； （五）未经有关主管部门批准，携带、传递国家秘密载体出境。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第二十六条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禁止非法复制、记录、存储国家秘密。 禁止在互联网及其他公共信息网络或者未采取保密措施的有线和无线通信中传递国家秘密。 禁止在私人交往和通信中涉及国家秘密。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第二十七条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报刊、图书、音像制品、电子出版物的编辑、出版、印制、发行，广播节目、电视节目、电影的制作和播放，互联网、移动通信网等公共信息网络及其他传媒的信息编辑、发布，应当遵守有关保密规定。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第二十八条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互联网及其他公共信息网络运营商、服务商应当配合公安机关、国家安全机关、检察机关对泄密案件进行调查；发现利用互联网及其他公共信息网络发布的信息涉及泄露国家秘密的，应当立即停止传输，保存有关记录，向公安机关、国家安全机关或者保密行政管理部门报告；应当根据公安机关、国家安全机关或者保密行政管理部门的要求，删除涉及泄露国家秘密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第二十九条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机关、单位公开发布信息以及对涉及国家秘密的工程、货物、服务进行采购时，应当遵守保密规定。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第三十条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机关、单位对外交往与合作中需要提供国家秘密事项，或者任用、聘用的境外人员因工作需要知悉国家秘密的，应当报国务院有关主管部门或者省、自治区、直辖市人民政府有关主管部门批准，并与对方签订保密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第三十一条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举办会议或者其他活动涉及国家秘密的，主办单位应当采取保密措施，并对参加人员进行保密教育，提出具体保密要求。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第三十二条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第三十三条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军事禁区和属于国家秘密不对外开放的其他场所、部位，应当采取保密措施，未经有关部门批准，不得擅自决定对外开放或者扩大开放范围。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第三十四条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从事国家秘密载体制作、复制、维修、销毁，涉密信息系统集成，或者武器装备科研生产等涉及国家秘密业务的企业事业单位，应当经过保密审查，具体办法由国务院规定。 机关、单位委托企业事业单位从事前款规定的业务，应当与其签订保密协议，提出保密要求，采取保密措施。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第三十五条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在涉密岗位工作的人员（以下简称涉密人员），按照涉密程度分为核心涉密人员、重要涉密人员和一般涉密人员，实行分类管理。 任用、聘用涉密人员应当按照有关规定进行审查。 涉密人员应当具有良好的政治素质和品行，具有胜任涉密岗位所要求的工作能力。 涉密人员的合法权益受法律保护。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第三十六条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涉密人员上岗应当经过保密教育培训，掌握保密知识技能，签订保密承诺书，严格遵守保密规章制度，不得以任何方式泄露国家秘密。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第三十七条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涉密人员出境应当经有关部门批准，有关机关认为涉密人员出境将对国家安全造成危害或者对国家利益造成重大损失的，不得批准出境。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第三十八条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涉密人员离岗离职实行脱密期管理。涉密人员在脱密期内，应当按照规定履行保密义务，不得违反规定就业，不得以任何方式泄露国家秘密。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第三十九条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机关、单位应当建立健全涉密人员管理制度，明确涉密人员的权利、岗位责任和要求，对涉密人员履行职责情况开展经常性的监督检查。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第四十条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国家工作人员或者其他公民发现国家秘密已经泄露或者可能泄露时，应当立即采取补救措施并及时报告有关机关、单位。机关、单位接到报告后，应当立即作出处理，并及时向保密行政管理部门报告。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000000"/>
          <w:spacing w:val="0"/>
          <w:sz w:val="28"/>
          <w:szCs w:val="28"/>
        </w:rPr>
      </w:pPr>
      <w:r>
        <w:rPr>
          <w:rFonts w:hint="eastAsia" w:ascii="宋体" w:hAnsi="宋体" w:eastAsia="宋体" w:cs="宋体"/>
          <w:b/>
          <w:i w:val="0"/>
          <w:caps w:val="0"/>
          <w:color w:val="000000"/>
          <w:spacing w:val="0"/>
          <w:kern w:val="0"/>
          <w:sz w:val="28"/>
          <w:szCs w:val="28"/>
          <w:lang w:val="en-US" w:eastAsia="zh-CN" w:bidi="ar"/>
        </w:rPr>
        <w:t>第四章　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第四十一条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国家保密行政管理部门依照法律、行政法规的规定，制定保密规章和国家保密标准。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第四十二条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保密行政管理部门依法组织开展保密宣传教育、保密检查、保密技术防护和泄密案件查处工作，对机关、单位的保密工作进行指导和监督。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第四十三条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保密行政管理部门发现国家秘密确定、变更或者解除不当的，应当及时通知有关机关、单位予以纠正。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第四十四条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第四十五条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保密行政管理部门对保密检查中发现的非法获取、持有的国家秘密载体，应当予以收缴。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第四十六条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办理涉嫌泄露国家秘密案件的机关，需要对有关事项是否属于国家秘密以及属于何种密级进行鉴定的，由国家保密行政管理部门或者省、自治区、直辖市保密行政管理部门鉴定。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第四十七条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机关、单位对违反保密规定的人员不依法给予处分的，保密行政管理部门应当建议纠正，对拒不纠正的，提请其上一级机关或者监察机关对该机关、单位负有责任的领导人员和直接责任人员依法予以处理。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000000"/>
          <w:spacing w:val="0"/>
          <w:sz w:val="28"/>
          <w:szCs w:val="28"/>
        </w:rPr>
      </w:pPr>
      <w:r>
        <w:rPr>
          <w:rFonts w:hint="eastAsia" w:ascii="宋体" w:hAnsi="宋体" w:eastAsia="宋体" w:cs="宋体"/>
          <w:b/>
          <w:i w:val="0"/>
          <w:caps w:val="0"/>
          <w:color w:val="000000"/>
          <w:spacing w:val="0"/>
          <w:kern w:val="0"/>
          <w:sz w:val="28"/>
          <w:szCs w:val="28"/>
          <w:lang w:val="en-US" w:eastAsia="zh-CN" w:bidi="ar"/>
        </w:rPr>
        <w:t>第五章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第四十八条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违反本法规定，有下列行为之一的，依法给予处分；构成犯罪的，依法追究刑事责任： （一）非法获取、持有国家秘密载体的； （二）买卖、转送或者私自销毁国家秘密载体的； （三）通过普通邮政、快递等无保密措施的渠道传递国家秘密载体的； （四）邮寄、托运国家秘密载体出境，或者未经有关主管部门批准，携带、传递国家秘密载体出境的； （五）非法复制、记录、存储国家秘密的； （六）在私人交往和通信中涉及国家秘密的； （七）在互联网及其他公共信息网络或者未采取保密措施的有线和无线通信中传递国家秘密的； （八）将涉密计算机、涉密存储设备接入互联网及其他公共信息网络的； （九）在未采取防护措施的情况下，在涉密信息系统与互联网及其他公共信息网络之间进行信息交换的； （十）使用非涉密计算机、非涉密存储设备存储、处理国家秘密信息的； （十一）擅自卸载、修改涉密信息系统的安全技术程序、管理程序的； （十二）将未经安全技术处理的退出使用的涉密计算机、涉密存储设备赠送、出售、丢弃或者改作其他用途的。 有前款行为尚不构成犯罪，且不适用处分的人员，由保密行政管理部门督促其所在机关、单位予以处理。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第四十九条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机关、单位违反本法规定，发生重大泄密案件的，由有关机关、单位依法对直接负责的主管人员和其他直接责任人员给予处分；不适用处分的人员，由保密行政管理部门督促其主管部门予以处理。 机关、单位违反本法规定，对应当定密的事项不定密，或者对不应当定密的事项定密，造成严重后果的，由有关机关、单位依法对直接负责的主管人员和其他直接责任人员给予处分。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第五十条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互联网及其他公共信息网络运营商、服务商违反本法第二十八条规定的，由公安机关或者国家安全机关、信息产业主管部门按照各自职责分工依法予以处罚。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第五十一条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保密行政管理部门的工作人员在履行保密管理职责中滥用职权、玩忽职守、徇私舞弊的，依法给予处分；构成犯罪的，依法追究刑事责任。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000000"/>
          <w:spacing w:val="0"/>
          <w:sz w:val="28"/>
          <w:szCs w:val="28"/>
        </w:rPr>
      </w:pPr>
      <w:r>
        <w:rPr>
          <w:rFonts w:hint="eastAsia" w:ascii="宋体" w:hAnsi="宋体" w:eastAsia="宋体" w:cs="宋体"/>
          <w:b/>
          <w:i w:val="0"/>
          <w:caps w:val="0"/>
          <w:color w:val="000000"/>
          <w:spacing w:val="0"/>
          <w:kern w:val="0"/>
          <w:sz w:val="28"/>
          <w:szCs w:val="28"/>
          <w:lang w:val="en-US" w:eastAsia="zh-CN" w:bidi="ar"/>
        </w:rPr>
        <w:t>第六章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第五十二条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中央军事委员会根据本法制定中国人民解放军保密条例。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2" w:firstLineChars="200"/>
        <w:jc w:val="left"/>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第五十三条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560" w:firstLineChars="200"/>
        <w:jc w:val="lef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lang w:val="en-US" w:eastAsia="zh-CN" w:bidi="ar"/>
        </w:rPr>
        <w:t>本法自2010年10月1日起施</w:t>
      </w:r>
    </w:p>
    <w:p>
      <w:pPr>
        <w:keepNext w:val="0"/>
        <w:keepLines w:val="0"/>
        <w:pageBreakBefore w:val="0"/>
        <w:kinsoku/>
        <w:wordWrap/>
        <w:overflowPunct/>
        <w:topLinePunct w:val="0"/>
        <w:autoSpaceDE/>
        <w:autoSpaceDN/>
        <w:bidi w:val="0"/>
        <w:adjustRightInd/>
        <w:snapToGrid w:val="0"/>
        <w:spacing w:line="240" w:lineRule="atLeast"/>
        <w:ind w:firstLine="560" w:firstLineChars="200"/>
        <w:textAlignment w:val="auto"/>
        <w:rPr>
          <w:rFonts w:hint="eastAsia" w:ascii="宋体" w:hAnsi="宋体" w:eastAsia="宋体" w:cs="宋体"/>
          <w:sz w:val="28"/>
          <w:szCs w:val="28"/>
        </w:rPr>
      </w:pPr>
    </w:p>
    <w:bookmarkEnd w:id="0"/>
    <w:sectPr>
      <w:pgSz w:w="11906" w:h="16838"/>
      <w:pgMar w:top="1440" w:right="1800" w:bottom="1440" w:left="1800"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4E602F"/>
    <w:rsid w:val="0AE95B4D"/>
    <w:rsid w:val="160F46A1"/>
    <w:rsid w:val="2780638F"/>
    <w:rsid w:val="524D086A"/>
    <w:rsid w:val="68E117FD"/>
    <w:rsid w:val="78610CED"/>
    <w:rsid w:val="7EF64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用户宣传统战部</dc:creator>
  <cp:lastModifiedBy>Administrator</cp:lastModifiedBy>
  <dcterms:modified xsi:type="dcterms:W3CDTF">2020-04-13T09:06:15Z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