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t>昆昆明城市学院新生公寓饮水机采购项目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2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632"/>
        <w:gridCol w:w="3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报名品牌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1D41D5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（依据项目情况确定：是否不同主要产品需分别标注不同品牌）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代理商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经销商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集成商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（存在两个及以上的需分别注明）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金额单项不低于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15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万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附合同彩色扫描件及验收证明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sectPr>
      <w:pgSz w:w="11906" w:h="16838"/>
      <w:pgMar w:top="1417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WUwZjVmOGVmOGNiZmYwZjUyYWVkNmZiZGYzYWMifQ=="/>
  </w:docVars>
  <w:rsids>
    <w:rsidRoot w:val="0FDA4304"/>
    <w:rsid w:val="0FDA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2024-07-15T02:46:00Z</dcterms:created>
  <dc:creator>熊</dc:creator>
  <cp:lastModifiedBy>熊</cp:lastModifiedBy>
  <dcterms:modified xsi:type="dcterms:W3CDTF">2024-07-15T03:07:51Z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2BC42ACB1E2D42BFA170A4E142B49028_11</vt:lpwstr>
  </property>
</Properties>
</file>